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砚山县渔泽坡水库、丰收水库、稼依水库</w:t>
      </w:r>
    </w:p>
    <w:p>
      <w:pPr>
        <w:widowControl/>
        <w:shd w:val="clear" w:color="auto" w:fill="FFFFFF"/>
        <w:spacing w:line="57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水利工程供水价格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听证会报名表</w:t>
      </w:r>
      <w:bookmarkEnd w:id="0"/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default" w:ascii="Times New Roman" w:hAnsi="Times New Roman" w:eastAsia="方正小标宋_GBK" w:cs="Times New Roman"/>
          <w:kern w:val="0"/>
          <w:sz w:val="32"/>
          <w:szCs w:val="32"/>
        </w:rPr>
      </w:pP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51"/>
        <w:gridCol w:w="1134"/>
        <w:gridCol w:w="992"/>
        <w:gridCol w:w="567"/>
        <w:gridCol w:w="585"/>
        <w:gridCol w:w="92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552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8364" w:type="dxa"/>
            <w:gridSpan w:val="8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声明及签名：</w:t>
            </w:r>
          </w:p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 xml:space="preserve">    本人自愿参加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砚山县水库水利工程供水价格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听证会，并对所提供的个人信息的真实性负责，同时认可并服从听证会各项纪律和组织管理规定。</w:t>
            </w:r>
          </w:p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签名：</w:t>
            </w:r>
          </w:p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日期：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8364" w:type="dxa"/>
            <w:gridSpan w:val="8"/>
            <w:vAlign w:val="center"/>
          </w:tcPr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备注：</w:t>
            </w:r>
          </w:p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1.填写的内容必须真实、清楚（字迹请勿潦草）；</w:t>
            </w:r>
          </w:p>
          <w:p>
            <w:pPr>
              <w:widowControl/>
              <w:spacing w:line="578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2.各项联系方式必须有效，若联系不上，即视为报名无效；</w:t>
            </w:r>
          </w:p>
          <w:p>
            <w:pPr>
              <w:widowControl/>
              <w:spacing w:line="578" w:lineRule="exact"/>
              <w:ind w:left="320" w:hanging="320" w:hangingChars="10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3.参加听证会的代表应准备书面材料，并将陈述时间控制在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5分钟以内。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9287D"/>
    <w:rsid w:val="09361031"/>
    <w:rsid w:val="6E6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2022-02-10T00:56:00Z</dcterms:created>
  <dc:creator>卢丽爽</dc:creator>
  <cp:lastModifiedBy>卢丽爽</cp:lastModifiedBy>
  <dcterms:modified xsi:type="dcterms:W3CDTF">2022-02-10T00:56:53Z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C596B8B070854DF59E470ED6EF4ADADF</vt:lpwstr>
  </property>
</Properties>
</file>