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砚山县人民政府办公室</w:t>
      </w:r>
      <w:r>
        <w:rPr>
          <w:rFonts w:hint="eastAsia" w:ascii="方正小标宋_GBK" w:eastAsia="方正小标宋_GBK"/>
          <w:kern w:val="32"/>
          <w:sz w:val="44"/>
          <w:szCs w:val="44"/>
        </w:rPr>
        <w:t>关于</w:t>
      </w:r>
    </w:p>
    <w:p>
      <w:pPr>
        <w:spacing w:line="560" w:lineRule="exact"/>
        <w:jc w:val="center"/>
        <w:rPr>
          <w:rFonts w:hint="eastAsia" w:ascii="方正小标宋_GBK" w:eastAsia="方正小标宋_GBK"/>
          <w:kern w:val="32"/>
          <w:sz w:val="44"/>
          <w:szCs w:val="44"/>
        </w:rPr>
      </w:pPr>
      <w:r>
        <w:rPr>
          <w:rFonts w:hint="eastAsia" w:ascii="方正小标宋_GBK" w:eastAsia="方正小标宋_GBK"/>
          <w:kern w:val="32"/>
          <w:sz w:val="44"/>
          <w:szCs w:val="44"/>
          <w:lang w:eastAsia="zh-CN"/>
        </w:rPr>
        <w:t>印发</w:t>
      </w:r>
      <w:r>
        <w:rPr>
          <w:rFonts w:hint="eastAsia" w:ascii="方正小标宋_GBK" w:eastAsia="方正小标宋_GBK"/>
          <w:kern w:val="32"/>
          <w:sz w:val="44"/>
          <w:szCs w:val="44"/>
        </w:rPr>
        <w:t>砚山县县级救灾物资管理办法的通知</w:t>
      </w: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砚政</w:t>
      </w:r>
      <w:r>
        <w:rPr>
          <w:rFonts w:hint="eastAsia" w:eastAsia="方正仿宋_GBK"/>
          <w:sz w:val="32"/>
          <w:szCs w:val="32"/>
        </w:rPr>
        <w:t>办规</w:t>
      </w:r>
      <w:r>
        <w:rPr>
          <w:rFonts w:eastAsia="方正仿宋_GBK"/>
          <w:sz w:val="32"/>
          <w:szCs w:val="32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各乡（镇）人民政府，县直各部门，省州驻砚科局级以上单位：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经县人民政府同意，现将《砚山县县级救灾物资管理办法》印发给你们，请认真贯彻执行。</w:t>
      </w:r>
    </w:p>
    <w:p>
      <w:pPr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tabs>
          <w:tab w:val="left" w:pos="7638"/>
          <w:tab w:val="left" w:pos="8040"/>
        </w:tabs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                          </w:t>
      </w:r>
      <w:r>
        <w:rPr>
          <w:rFonts w:eastAsia="方正仿宋_GBK"/>
          <w:sz w:val="32"/>
          <w:szCs w:val="32"/>
        </w:rPr>
        <w:t>砚山县人民政府</w:t>
      </w:r>
      <w:r>
        <w:rPr>
          <w:rFonts w:hint="eastAsia" w:eastAsia="方正仿宋_GBK"/>
          <w:sz w:val="32"/>
          <w:szCs w:val="32"/>
        </w:rPr>
        <w:t>办公室</w:t>
      </w:r>
    </w:p>
    <w:p>
      <w:pPr>
        <w:tabs>
          <w:tab w:val="left" w:pos="7638"/>
        </w:tabs>
        <w:spacing w:line="560" w:lineRule="exact"/>
        <w:ind w:right="640" w:firstLine="5174" w:firstLineChars="1617"/>
        <w:rPr>
          <w:rFonts w:eastAsia="方正仿宋_GBK"/>
          <w:szCs w:val="32"/>
        </w:rPr>
      </w:pP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19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638"/>
          <w:tab w:val="left" w:pos="8040"/>
        </w:tabs>
        <w:kinsoku/>
        <w:wordWrap/>
        <w:overflowPunct/>
        <w:topLinePunct w:val="0"/>
        <w:autoSpaceDE/>
        <w:autoSpaceDN/>
        <w:bidi w:val="0"/>
        <w:spacing w:line="240" w:lineRule="auto"/>
        <w:ind w:right="656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砚山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县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  <w:lang w:eastAsia="zh-CN"/>
        </w:rPr>
        <w:t>县级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u w:val="none"/>
          <w:shd w:val="clear" w:color="auto" w:fill="FFFFFF"/>
        </w:rPr>
        <w:t>救灾物资管理办法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第一章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为规范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储备和管理，提高救灾应急能力，依据《自然灾害救助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例》《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云南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省自然灾害救助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规定》，参照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中央救灾物资储备管理办法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》《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云南省省级救灾物资管理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（试行）》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文山州州救灾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物资管理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，结合我县实际，制定本办法。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是指专项用于紧急抢险救援、重大突发事件处置、紧急转移安置受灾群众和安排受灾群众生活的各类物资。包括本级财政资金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含本级接收救灾捐赠资金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购置物资、上级分配调拨物资和本级接收救灾捐赠物资。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原则上统一存储在县救灾物资储备库，确有需要的可委托乡镇所设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储备站（点）代储。对一些具有特殊储备要求、不宜长期储存、使用量大而储备库容不足的物资，可以委托具备一定生产经营和储备能力的相关企业协议储备。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按职能职责开展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储备管理，承担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救灾物资采购、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入库、验收、调运、发放、洗消、清理、晾晒、回收等日常管理工作。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救灾应急储备物资坚持专项管理、重点使用、无偿使用原则，不得挪作他用，不得向受灾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第二章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购置和储备管理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根据储备规划、年度购置计划、应急购置计划和储备物资使用情况、资金筹集情况，按照政府采购政策规定和程序购置。对因严重自然灾害和其他不可抗力事件所实施的紧急采购，报经县人民政府批准后按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特事特办、急事急办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原则，在保证采购物资质量和功能的前提下进行紧急采购。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或代储单位应当加强储备物资管理，定点储存、专人保管、专账记载，统一仓牌和账表卡，实行封闭式和规范化管理，建立健全岗位责任、出入库登记、安全巡查、设施维护、质量检测、物资账目等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第八条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救灾物资储备库或代储单位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每年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12月31日前向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（粮食和物资储备局）书面报告上年度所储存县级或代储省、州级救灾物资购置、存储、使用情况，内容包括物资入库、出库、报废及库存物资情况，管理经费收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、支出和结转情况，年度工作计划执行情况等；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（粮食和物资储备局）会同县应急局、县财政局于每年1月31日前，向县人民政府报告上年度县级或代储省、州级救灾物资储备情况，内容包括物资入库、出库、报废及库存物资情况，管理经费收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、支出和结转情况，年度工作计划执行情况等。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救灾物资储备库或代储单位应当建立健全安全管理制度，制定应急预案，明确安全责任，落实防范措施，确保人员、物资和库房安全。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储存保管应当根据其储藏特性，严格执行国家有关技术规范，积极创造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件运用先进适用的仓储技术，加强标准化、规范化、信息化、智能化建设，保证质量良好、储存安全、管理规范。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入库实行验收制度，严格验收程序，严把数量和质量关。对新购置的物资，应当对品种、数量、规格、型号、生产日期等进行核对和质量抽检。对质量不符合标准和技术指标不符合要求的，应退回或责令供货方整改，待重新检验合格后方可入库。如需要质量鉴定，应当委托具备资质的质检机构进行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应当按照下列要求存放和管理：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（一）标签规范。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货位卡应标明物资品名、规格、型号、生产企业、数量、生产日期、入库时间和保质期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储备年限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（二）分类存放。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摆放安全、整齐、美观，留有通道，严禁接触酸、碱、油脂、氧化剂和有机溶剂等危禁物品。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（三）定期盘库。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救灾物资储备库或代储单位按月或按季度进行库存物资盘点和清查，做到实物、标签、账目相符，账账、账实相符，定期将物资入库、调运、发放、库存等情况报县应急局核实。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（四）注意期限。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的储存、使用时间原则上不能超过规定年限，加强日常维护保养，定期检查盘点，确保库存物资储存安全、质量良好。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第三章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调拨管理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救灾物资储备库和代储单位应当建立应急值守制度，落实应急运输、装卸等措施和经费，配置开展应急保障必要的交通、通信等装备，保证随时开展应急物资紧急调运工作。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调拨使用原则上应逐级申请。县级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调拨使用程序：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由受灾乡镇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代本级政府向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县应急局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提出书面申请。申请内容包括：自然灾害或突发事故发生时间、地点、种类，紧急转移安置人数、需救助人数，本级储备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总量，已动用本级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数量，申请解决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的种类、数量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含规格型号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和用途，接收地点、接收单位、联系人和联系电话等。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县应急局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根据受灾乡镇的申请，拟定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调拨方案。拟调拨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价值5000元以下（不含5000元），由分管救灾工作副局长审批；拟调拨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价值5000元以上（含5000元）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30000元以下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，由分管救灾工作副局长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提建议，局长审批；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拟调拨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元以上（含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000元）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元以下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，由分管救灾工作副局长提交局党委会议研究审批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拟调拨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价值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元以上（含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元），由局党委会议研究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后提请县人民政府审批；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救灾物资储备库和代储单位凭县应急局调拨通知办理物资出库。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受灾乡镇在紧急情况下申请使用县级救灾应急储备物资时，可先口头或电话报告，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县应急局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批准后通知救灾物资储备库或代储单位办理物资出库，在灾情稳定后7个工作日内补报书面申请及办理相关手续。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全县大范围受灾且灾情较重或其他原因需统一调拨救灾储备物资时，由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县应急局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风险监测和综合减灾股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提出分配调拨方案，提交局党委会议研究审批。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第十五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根据受灾地区的需求和全县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储备情况，县级可以统筹就近调拨有关乡镇的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支援灾区。应急期结束，由县级给予补充。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第十六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救灾物资储备库和代储单位接到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县应急局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调拨通知后，应立即做好物资出库准备工作，确保在最短时间内运达灾区。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第十七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调拨，坚持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先急后缓、先主后次、先进先出、就近调用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的原则，统筹安排，合理使用。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第十八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发生的运输、搬运等费用由申请使用的乡镇承担。县级统一调拨时，由县级承担。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第十九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接收、使用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的受灾乡镇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，应及时进行清点验收，并出具接收手续。如发现数量或质量等问题，应及时将有关情况报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县应急局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使用、回收和轮换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主要用于紧急抢险救援、重大突发事件处置、紧急转移安置受灾群众和安排受灾群众生活，严禁改变用途。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第二十一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受灾乡镇发放使用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，应登记造册，建立台账，做到账目清楚、程序合规、手续完备，并将发放使用明细以适当方式向社会公布，主动接受监督。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第二十二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救灾物资分为可回收类物资和非回收类物资，由县应急局商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（粮食和物资储备局）、县财政局根据中央和省、州有关规定确定。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使用乡镇应加强管理，不得出售、出租和抛弃。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对使用后可回收利用的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，应本着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节约资源、充分利用、应收尽收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的原则进行回收，经清洗、消毒、晾晒、整理和修补后妥善存放。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凡是印有救灾相关标志的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，使用结束后无论是否损坏或有无再利用价值，都应回收妥善处理。达到报废标准的，在纪检监察、财政等部门的监督下销毁。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对非回收类救灾物资，发放给受灾人员使用后，不再进行回收。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第二十三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回收利用和调拨后未发放使用的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，所有权归使用乡镇人民政府，由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乡镇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应急服务中心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作为本级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储备管理，相应的管理经费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由本乡镇负责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第二十四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救灾物资储备库和代储单位储备的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，已达到储备年限的，由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按有关规定进行轮换。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第五章  经费保障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二十五条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年度采购县级救灾储备物资所需经费，由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同县财政局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县应急局商定。因重特大自然灾害需紧急采购县级救灾物资的，所需经费由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、县财政局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、县应急局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商议后报县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分管领导审核，再报县政府审定。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二十六条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县救灾物资储备仓库建设与管理等费用由县财政负责，乡镇代储救灾物资的日常管理、维护等费用由乡镇负责。</w:t>
      </w:r>
    </w:p>
    <w:p>
      <w:pPr>
        <w:pStyle w:val="11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二十七条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本级采购和上级调入我县的救灾物资、本级接受救灾捐赠物资所产生的运输、装卸、管理等费用由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县财政专项经费支付。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章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八条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储备管理应当主动接受纪检监察、发改、财政、审计等部门和社会监督，接受上级应急管理部门的督促检查和指导。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第二十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九条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储备管理工作人员违反本办法规定，有下列行为之一的，由所在单位按相关规定严肃处理：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因管理不善，造成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发生质量事故、安全责任事故或经济损失的；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因工作不力，致使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不能及时调运至指定地点的，造成应急保障出现严重后果的；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未经批准，擅自动用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工作不认真负责或弄虚作假，造成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账实不符的；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有其他违反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管理相关规定行为的。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救灾物资发放赈灾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存在玩忽职守、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截留挪用、违反程序、弄虚作假、优亲厚友、平均分配、显失公平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等行为，由所在单位按干部管理权限报相关部门追究责任。构成犯罪的，依法移送司法机关。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sz w:val="32"/>
          <w:szCs w:val="32"/>
        </w:rPr>
        <w:t>章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储备管理具体规章制度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乡镇可参照本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制定本级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救灾物资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储备管理办法。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二条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根据实施情况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适时修改完善。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三条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（粮食和物资储备局）、县应急局、县财政局共同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第三十四条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发生事故灾难、公共卫生事件、社会安全事件等突发事件，需要救灾储备物资的，参照本办法执行。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第三十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五条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自印发之日起施行。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X文文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山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县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人民政府发布     </w:t>
    </w:r>
  </w:p>
  <w:p>
    <w:pPr>
      <w:pStyle w:val="9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1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val="en-US" w:eastAsia="zh-CN"/>
      </w:rPr>
      <w:t>砚山县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TBiNzM2MjUxZWM2Y2FmYzRmNjVmMjdjNDMxMjcifQ=="/>
  </w:docVars>
  <w:rsids>
    <w:rsidRoot w:val="00172A27"/>
    <w:rsid w:val="019E71BD"/>
    <w:rsid w:val="025C01D1"/>
    <w:rsid w:val="037845BA"/>
    <w:rsid w:val="049B55BE"/>
    <w:rsid w:val="04B679C3"/>
    <w:rsid w:val="07BA677A"/>
    <w:rsid w:val="080F63D8"/>
    <w:rsid w:val="09341458"/>
    <w:rsid w:val="0B0912D7"/>
    <w:rsid w:val="0E5F2FB6"/>
    <w:rsid w:val="152D2DCA"/>
    <w:rsid w:val="18697B91"/>
    <w:rsid w:val="1DEC284C"/>
    <w:rsid w:val="1E6523AC"/>
    <w:rsid w:val="22440422"/>
    <w:rsid w:val="22A551C9"/>
    <w:rsid w:val="236F7CD9"/>
    <w:rsid w:val="27034546"/>
    <w:rsid w:val="276F0932"/>
    <w:rsid w:val="31A15F24"/>
    <w:rsid w:val="351C16E8"/>
    <w:rsid w:val="395347B5"/>
    <w:rsid w:val="39A232A0"/>
    <w:rsid w:val="39E745AA"/>
    <w:rsid w:val="3B5A6BBB"/>
    <w:rsid w:val="3BD84C1D"/>
    <w:rsid w:val="3EDA13A6"/>
    <w:rsid w:val="3FDC5A41"/>
    <w:rsid w:val="42F058B7"/>
    <w:rsid w:val="436109F6"/>
    <w:rsid w:val="441A38D4"/>
    <w:rsid w:val="47AF17EA"/>
    <w:rsid w:val="4BC77339"/>
    <w:rsid w:val="4C9236C5"/>
    <w:rsid w:val="4CA81F8C"/>
    <w:rsid w:val="505C172E"/>
    <w:rsid w:val="52F46F0B"/>
    <w:rsid w:val="53D8014D"/>
    <w:rsid w:val="55E064E0"/>
    <w:rsid w:val="572C6D10"/>
    <w:rsid w:val="573B1DEC"/>
    <w:rsid w:val="578B23D5"/>
    <w:rsid w:val="585E1AF6"/>
    <w:rsid w:val="5B39418D"/>
    <w:rsid w:val="5C0A4B08"/>
    <w:rsid w:val="5DC34279"/>
    <w:rsid w:val="608816D1"/>
    <w:rsid w:val="60EF4E7F"/>
    <w:rsid w:val="657B29E1"/>
    <w:rsid w:val="65EEE062"/>
    <w:rsid w:val="665233C1"/>
    <w:rsid w:val="6AD9688B"/>
    <w:rsid w:val="6D0E3F22"/>
    <w:rsid w:val="6DA938EC"/>
    <w:rsid w:val="70AF3B71"/>
    <w:rsid w:val="712E47AE"/>
    <w:rsid w:val="77D630EC"/>
    <w:rsid w:val="7B1A5E7C"/>
    <w:rsid w:val="7C52743D"/>
    <w:rsid w:val="7C9011D9"/>
    <w:rsid w:val="7D5A7D56"/>
    <w:rsid w:val="7DC651C5"/>
    <w:rsid w:val="7FCC2834"/>
    <w:rsid w:val="7FD5E6BF"/>
    <w:rsid w:val="A1FE2052"/>
    <w:rsid w:val="FD3F4FF7"/>
    <w:rsid w:val="FEB7A899"/>
    <w:rsid w:val="FFFF5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itle"/>
    <w:basedOn w:val="1"/>
    <w:next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lock Text"/>
    <w:basedOn w:val="1"/>
    <w:qFormat/>
    <w:uiPriority w:val="0"/>
    <w:pPr>
      <w:ind w:left="946" w:leftChars="100" w:right="316" w:rightChars="100" w:hanging="630" w:hangingChars="306"/>
    </w:p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eastAsia="宋体"/>
      <w:sz w:val="24"/>
      <w:szCs w:val="24"/>
    </w:rPr>
  </w:style>
  <w:style w:type="paragraph" w:customStyle="1" w:styleId="14">
    <w:name w:val="规章标题"/>
    <w:basedOn w:val="1"/>
    <w:next w:val="2"/>
    <w:qFormat/>
    <w:uiPriority w:val="0"/>
    <w:pPr>
      <w:jc w:val="center"/>
    </w:pPr>
    <w:rPr>
      <w:rFonts w:hint="eastAsia" w:ascii="Calibri" w:hAnsi="Calibri" w:cs="宋体"/>
      <w:sz w:val="44"/>
      <w:szCs w:val="44"/>
    </w:rPr>
  </w:style>
  <w:style w:type="paragraph" w:customStyle="1" w:styleId="15">
    <w:name w:val="规章批注"/>
    <w:basedOn w:val="1"/>
    <w:next w:val="2"/>
    <w:qFormat/>
    <w:uiPriority w:val="0"/>
    <w:pPr>
      <w:jc w:val="center"/>
    </w:pPr>
    <w:rPr>
      <w:rFonts w:hint="eastAsia" w:ascii="楷体" w:hAnsi="楷体" w:eastAsia="楷体" w:cs="楷体"/>
      <w:sz w:val="32"/>
      <w:szCs w:val="32"/>
    </w:rPr>
  </w:style>
  <w:style w:type="paragraph" w:customStyle="1" w:styleId="16">
    <w:name w:val="规章章节"/>
    <w:basedOn w:val="1"/>
    <w:next w:val="7"/>
    <w:qFormat/>
    <w:uiPriority w:val="0"/>
    <w:pPr>
      <w:jc w:val="center"/>
    </w:pPr>
    <w:rPr>
      <w:rFonts w:hint="eastAsia" w:ascii="黑体" w:hAnsi="黑体" w:eastAsia="黑体" w:cs="黑体"/>
      <w:color w:val="333333"/>
      <w:sz w:val="32"/>
      <w:szCs w:val="32"/>
      <w:shd w:val="clear" w:color="auto" w:fill="FFFFFF"/>
    </w:rPr>
  </w:style>
  <w:style w:type="paragraph" w:customStyle="1" w:styleId="17">
    <w:name w:val="规章条款"/>
    <w:basedOn w:val="1"/>
    <w:next w:val="7"/>
    <w:link w:val="18"/>
    <w:qFormat/>
    <w:uiPriority w:val="0"/>
    <w:pPr>
      <w:ind w:firstLine="640" w:firstLineChars="200"/>
    </w:pPr>
    <w:rPr>
      <w:rFonts w:hint="eastAsia" w:ascii="黑体" w:hAnsi="黑体" w:eastAsia="黑体" w:cs="黑体"/>
      <w:color w:val="333333"/>
      <w:sz w:val="32"/>
      <w:szCs w:val="32"/>
      <w:shd w:val="clear" w:color="auto" w:fill="FFFFFF"/>
    </w:rPr>
  </w:style>
  <w:style w:type="character" w:customStyle="1" w:styleId="18">
    <w:name w:val="规章条款 Char"/>
    <w:link w:val="17"/>
    <w:qFormat/>
    <w:uiPriority w:val="0"/>
    <w:rPr>
      <w:rFonts w:hint="eastAsia" w:ascii="黑体" w:hAnsi="黑体" w:eastAsia="黑体" w:cs="黑体"/>
      <w:color w:val="333333"/>
      <w:sz w:val="32"/>
      <w:szCs w:val="32"/>
      <w:shd w:val="clear" w:color="auto" w:fill="FFFFFF"/>
    </w:rPr>
  </w:style>
  <w:style w:type="paragraph" w:customStyle="1" w:styleId="19">
    <w:name w:val="规章正文"/>
    <w:basedOn w:val="1"/>
    <w:qFormat/>
    <w:uiPriority w:val="0"/>
    <w:pPr>
      <w:ind w:firstLine="640" w:firstLineChars="200"/>
    </w:pPr>
    <w:rPr>
      <w:rFonts w:hint="eastAsia" w:ascii="仿宋_GB2312" w:hAnsi="仿宋_GB2312" w:eastAsia="仿宋_GB2312" w:cs="仿宋_GB2312"/>
      <w:color w:val="333333"/>
      <w:sz w:val="32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7013</Words>
  <Characters>7062</Characters>
  <Lines>1</Lines>
  <Paragraphs>1</Paragraphs>
  <TotalTime>1</TotalTime>
  <ScaleCrop>false</ScaleCrop>
  <LinksUpToDate>false</LinksUpToDate>
  <CharactersWithSpaces>7180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WPS_1514537279</cp:lastModifiedBy>
  <cp:lastPrinted>2022-11-08T07:20:00Z</cp:lastPrinted>
  <dcterms:modified xsi:type="dcterms:W3CDTF">2022-11-21T08:19:07Z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8EF450E7EA29454D9474EBC665FB215A</vt:lpwstr>
  </property>
</Properties>
</file>