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both"/>
        <w:rPr>
          <w:rFonts w:hint="eastAsia" w:ascii="仿宋_GB2312" w:hAnsi="仿宋_GB2312" w:eastAsia="仿宋_GB2312" w:cs="仿宋_GB2312"/>
          <w:sz w:val="32"/>
          <w:szCs w:val="32"/>
          <w:lang w:val="en-US" w:eastAsia="zh-CN"/>
        </w:rPr>
      </w:pPr>
    </w:p>
    <w:p>
      <w:pPr>
        <w:spacing w:line="560" w:lineRule="exact"/>
        <w:ind w:left="-420" w:leftChars="-200"/>
        <w:jc w:val="center"/>
        <w:rPr>
          <w:rFonts w:eastAsia="方正小标宋_GBK"/>
          <w:sz w:val="44"/>
          <w:szCs w:val="44"/>
        </w:rPr>
      </w:pPr>
      <w:r>
        <w:rPr>
          <w:rFonts w:eastAsia="方正小标宋_GBK"/>
          <w:sz w:val="44"/>
          <w:szCs w:val="44"/>
        </w:rPr>
        <w:t>砚山县人民政府办公室</w:t>
      </w:r>
    </w:p>
    <w:p>
      <w:pPr>
        <w:spacing w:line="560" w:lineRule="exact"/>
        <w:jc w:val="center"/>
        <w:rPr>
          <w:rFonts w:eastAsia="方正小标宋_GBK"/>
          <w:sz w:val="44"/>
          <w:szCs w:val="44"/>
        </w:rPr>
      </w:pPr>
      <w:r>
        <w:rPr>
          <w:rFonts w:eastAsia="方正小标宋_GBK"/>
          <w:sz w:val="44"/>
          <w:szCs w:val="44"/>
        </w:rPr>
        <w:t>关于</w:t>
      </w:r>
      <w:r>
        <w:rPr>
          <w:rFonts w:eastAsia="方正小标宋_GBK"/>
          <w:kern w:val="44"/>
          <w:sz w:val="44"/>
          <w:szCs w:val="44"/>
        </w:rPr>
        <w:t>印发砚山县</w:t>
      </w:r>
      <w:r>
        <w:rPr>
          <w:rFonts w:hint="eastAsia" w:eastAsia="方正小标宋_GBK"/>
          <w:kern w:val="44"/>
          <w:sz w:val="44"/>
          <w:szCs w:val="44"/>
        </w:rPr>
        <w:t>城市</w:t>
      </w:r>
      <w:r>
        <w:rPr>
          <w:rFonts w:eastAsia="方正小标宋_GBK"/>
          <w:sz w:val="44"/>
          <w:szCs w:val="44"/>
        </w:rPr>
        <w:t>绿线管理办法</w:t>
      </w:r>
      <w:r>
        <w:rPr>
          <w:rFonts w:eastAsia="方正小标宋_GBK"/>
          <w:bCs/>
          <w:sz w:val="44"/>
          <w:szCs w:val="44"/>
        </w:rPr>
        <w:t>的</w:t>
      </w:r>
      <w:r>
        <w:rPr>
          <w:rFonts w:eastAsia="方正小标宋_GBK"/>
          <w:kern w:val="44"/>
          <w:sz w:val="44"/>
          <w:szCs w:val="44"/>
        </w:rPr>
        <w:t>通知</w:t>
      </w:r>
    </w:p>
    <w:p>
      <w:pPr>
        <w:spacing w:line="240" w:lineRule="auto"/>
        <w:jc w:val="center"/>
        <w:rPr>
          <w:rFonts w:eastAsia="方正仿宋_GBK"/>
          <w:color w:val="auto"/>
          <w:sz w:val="32"/>
          <w:szCs w:val="32"/>
        </w:rPr>
      </w:pPr>
    </w:p>
    <w:p>
      <w:pPr>
        <w:spacing w:line="240" w:lineRule="auto"/>
        <w:jc w:val="center"/>
        <w:rPr>
          <w:rFonts w:eastAsia="方正仿宋_GBK"/>
          <w:color w:val="auto"/>
          <w:sz w:val="32"/>
          <w:szCs w:val="32"/>
        </w:rPr>
      </w:pPr>
      <w:r>
        <w:rPr>
          <w:rFonts w:eastAsia="方正仿宋_GBK"/>
          <w:color w:val="auto"/>
          <w:sz w:val="32"/>
          <w:szCs w:val="32"/>
        </w:rPr>
        <w:t>砚政</w:t>
      </w:r>
      <w:r>
        <w:rPr>
          <w:rFonts w:hint="eastAsia" w:eastAsia="方正仿宋_GBK"/>
          <w:color w:val="auto"/>
          <w:sz w:val="32"/>
          <w:szCs w:val="32"/>
        </w:rPr>
        <w:t>办</w:t>
      </w:r>
      <w:r>
        <w:rPr>
          <w:rFonts w:hint="eastAsia" w:eastAsia="方正仿宋_GBK"/>
          <w:color w:val="auto"/>
          <w:sz w:val="32"/>
          <w:szCs w:val="32"/>
          <w:lang w:val="en-US" w:eastAsia="zh-CN"/>
        </w:rPr>
        <w:t>规</w:t>
      </w:r>
      <w:r>
        <w:rPr>
          <w:rFonts w:eastAsia="方正仿宋_GBK"/>
          <w:color w:val="auto"/>
          <w:sz w:val="32"/>
          <w:szCs w:val="32"/>
        </w:rPr>
        <w:t>〔20</w:t>
      </w:r>
      <w:r>
        <w:rPr>
          <w:rFonts w:hint="eastAsia" w:eastAsia="方正仿宋_GBK"/>
          <w:color w:val="auto"/>
          <w:sz w:val="32"/>
          <w:szCs w:val="32"/>
          <w:lang w:val="en-US" w:eastAsia="zh-CN"/>
        </w:rPr>
        <w:t>18</w:t>
      </w:r>
      <w:r>
        <w:rPr>
          <w:rFonts w:eastAsia="方正仿宋_GBK"/>
          <w:color w:val="auto"/>
          <w:sz w:val="32"/>
          <w:szCs w:val="32"/>
        </w:rPr>
        <w:t>〕</w:t>
      </w:r>
      <w:r>
        <w:rPr>
          <w:rFonts w:hint="eastAsia" w:eastAsia="方正仿宋_GBK"/>
          <w:color w:val="auto"/>
          <w:sz w:val="32"/>
          <w:szCs w:val="32"/>
          <w:lang w:val="en-US" w:eastAsia="zh-CN"/>
        </w:rPr>
        <w:t>3</w:t>
      </w:r>
      <w:r>
        <w:rPr>
          <w:rFonts w:eastAsia="方正仿宋_GBK"/>
          <w:color w:val="auto"/>
          <w:sz w:val="32"/>
          <w:szCs w:val="32"/>
        </w:rPr>
        <w:t>号</w:t>
      </w:r>
    </w:p>
    <w:p>
      <w:pPr>
        <w:pStyle w:val="2"/>
        <w:spacing w:line="240" w:lineRule="auto"/>
        <w:rPr>
          <w:rFonts w:hint="eastAsia"/>
        </w:rPr>
      </w:pPr>
    </w:p>
    <w:p>
      <w:pPr>
        <w:tabs>
          <w:tab w:val="left" w:pos="7560"/>
        </w:tabs>
        <w:spacing w:line="240" w:lineRule="auto"/>
        <w:rPr>
          <w:rStyle w:val="15"/>
          <w:rFonts w:eastAsia="方正仿宋_GBK"/>
          <w:b w:val="0"/>
          <w:kern w:val="32"/>
          <w:sz w:val="32"/>
          <w:szCs w:val="32"/>
        </w:rPr>
      </w:pPr>
      <w:r>
        <w:rPr>
          <w:rFonts w:eastAsia="方正仿宋_GBK"/>
          <w:sz w:val="32"/>
          <w:szCs w:val="32"/>
        </w:rPr>
        <w:t>各乡（镇）人民政府</w:t>
      </w:r>
      <w:r>
        <w:rPr>
          <w:rStyle w:val="15"/>
          <w:rFonts w:eastAsia="方正仿宋_GBK"/>
          <w:b w:val="0"/>
          <w:kern w:val="32"/>
          <w:sz w:val="32"/>
          <w:szCs w:val="32"/>
        </w:rPr>
        <w:t>，县直</w:t>
      </w:r>
      <w:r>
        <w:rPr>
          <w:rStyle w:val="15"/>
          <w:rFonts w:hint="eastAsia" w:eastAsia="方正仿宋_GBK"/>
          <w:b w:val="0"/>
          <w:kern w:val="32"/>
          <w:sz w:val="32"/>
          <w:szCs w:val="32"/>
        </w:rPr>
        <w:t>各</w:t>
      </w:r>
      <w:r>
        <w:rPr>
          <w:rStyle w:val="15"/>
          <w:rFonts w:eastAsia="方正仿宋_GBK"/>
          <w:b w:val="0"/>
          <w:kern w:val="32"/>
          <w:sz w:val="32"/>
          <w:szCs w:val="32"/>
        </w:rPr>
        <w:t>部门</w:t>
      </w:r>
      <w:r>
        <w:rPr>
          <w:rStyle w:val="15"/>
          <w:rFonts w:hint="eastAsia" w:eastAsia="方正仿宋_GBK"/>
          <w:b w:val="0"/>
          <w:kern w:val="32"/>
          <w:sz w:val="32"/>
          <w:szCs w:val="32"/>
        </w:rPr>
        <w:t>，省州驻砚科局级以上单位</w:t>
      </w:r>
      <w:r>
        <w:rPr>
          <w:rStyle w:val="15"/>
          <w:rFonts w:eastAsia="方正仿宋_GBK"/>
          <w:b w:val="0"/>
          <w:kern w:val="32"/>
          <w:sz w:val="32"/>
          <w:szCs w:val="32"/>
        </w:rPr>
        <w:t>：</w:t>
      </w:r>
    </w:p>
    <w:p>
      <w:pPr>
        <w:spacing w:line="240" w:lineRule="auto"/>
        <w:ind w:firstLine="640" w:firstLineChars="200"/>
        <w:rPr>
          <w:rFonts w:eastAsia="方正仿宋_GBK"/>
          <w:color w:val="000000"/>
          <w:sz w:val="32"/>
          <w:szCs w:val="32"/>
        </w:rPr>
      </w:pPr>
      <w:r>
        <w:rPr>
          <w:rFonts w:eastAsia="方正仿宋_GBK"/>
          <w:sz w:val="32"/>
          <w:szCs w:val="32"/>
        </w:rPr>
        <w:t>《砚山县</w:t>
      </w:r>
      <w:r>
        <w:rPr>
          <w:rFonts w:hint="eastAsia" w:eastAsia="方正仿宋_GBK"/>
          <w:sz w:val="32"/>
          <w:szCs w:val="32"/>
        </w:rPr>
        <w:t>城市</w:t>
      </w:r>
      <w:r>
        <w:rPr>
          <w:rFonts w:eastAsia="方正仿宋_GBK"/>
          <w:sz w:val="32"/>
          <w:szCs w:val="32"/>
        </w:rPr>
        <w:t>绿线管理办法》</w:t>
      </w:r>
      <w:r>
        <w:rPr>
          <w:rFonts w:hint="eastAsia" w:eastAsia="方正仿宋_GBK"/>
          <w:sz w:val="32"/>
          <w:szCs w:val="32"/>
        </w:rPr>
        <w:t>已</w:t>
      </w:r>
      <w:r>
        <w:rPr>
          <w:rFonts w:eastAsia="方正仿宋_GBK"/>
          <w:sz w:val="32"/>
          <w:szCs w:val="32"/>
        </w:rPr>
        <w:t>经</w:t>
      </w:r>
      <w:r>
        <w:rPr>
          <w:rFonts w:eastAsia="方正仿宋_GBK"/>
          <w:color w:val="000000"/>
          <w:sz w:val="32"/>
          <w:szCs w:val="32"/>
        </w:rPr>
        <w:t>2018年8月26日县十六届人民政府第34次常务会议</w:t>
      </w:r>
      <w:r>
        <w:rPr>
          <w:rStyle w:val="15"/>
          <w:rFonts w:eastAsia="方正仿宋_GBK"/>
          <w:b w:val="0"/>
          <w:bCs/>
          <w:color w:val="000000"/>
          <w:kern w:val="32"/>
          <w:sz w:val="32"/>
          <w:szCs w:val="32"/>
          <w:lang w:bidi="ar"/>
        </w:rPr>
        <w:t>同意，</w:t>
      </w:r>
      <w:r>
        <w:rPr>
          <w:rFonts w:eastAsia="方正仿宋_GBK"/>
          <w:sz w:val="32"/>
          <w:szCs w:val="32"/>
        </w:rPr>
        <w:t>现印发给你们，请认真贯彻执行。</w:t>
      </w:r>
    </w:p>
    <w:p>
      <w:pPr>
        <w:tabs>
          <w:tab w:val="left" w:pos="540"/>
          <w:tab w:val="left" w:pos="720"/>
          <w:tab w:val="left" w:pos="8280"/>
          <w:tab w:val="left" w:pos="8460"/>
          <w:tab w:val="left" w:pos="8640"/>
        </w:tabs>
        <w:spacing w:line="240" w:lineRule="auto"/>
        <w:jc w:val="center"/>
        <w:outlineLvl w:val="0"/>
        <w:rPr>
          <w:rFonts w:eastAsia="方正小标宋_GBK"/>
          <w:sz w:val="44"/>
          <w:szCs w:val="44"/>
        </w:rPr>
      </w:pPr>
    </w:p>
    <w:p>
      <w:pPr>
        <w:tabs>
          <w:tab w:val="left" w:pos="540"/>
          <w:tab w:val="left" w:pos="720"/>
          <w:tab w:val="left" w:pos="8280"/>
          <w:tab w:val="left" w:pos="8460"/>
          <w:tab w:val="left" w:pos="8640"/>
        </w:tabs>
        <w:spacing w:line="240" w:lineRule="auto"/>
        <w:jc w:val="center"/>
        <w:outlineLvl w:val="0"/>
        <w:rPr>
          <w:rFonts w:eastAsia="方正小标宋_GBK"/>
          <w:sz w:val="44"/>
          <w:szCs w:val="44"/>
        </w:rPr>
      </w:pPr>
    </w:p>
    <w:p>
      <w:pPr>
        <w:tabs>
          <w:tab w:val="left" w:pos="7638"/>
        </w:tabs>
        <w:adjustRightInd w:val="0"/>
        <w:snapToGrid w:val="0"/>
        <w:spacing w:line="240" w:lineRule="auto"/>
        <w:ind w:right="1260" w:rightChars="600"/>
        <w:jc w:val="right"/>
        <w:rPr>
          <w:rFonts w:eastAsia="方正仿宋_GBK"/>
          <w:sz w:val="32"/>
          <w:szCs w:val="32"/>
        </w:rPr>
      </w:pPr>
      <w:r>
        <w:rPr>
          <w:rFonts w:eastAsia="方正仿宋_GBK"/>
          <w:sz w:val="32"/>
          <w:szCs w:val="32"/>
        </w:rPr>
        <w:t>砚山县人民政府办公室</w:t>
      </w:r>
    </w:p>
    <w:p>
      <w:pPr>
        <w:tabs>
          <w:tab w:val="left" w:pos="7638"/>
        </w:tabs>
        <w:adjustRightInd w:val="0"/>
        <w:snapToGrid w:val="0"/>
        <w:spacing w:line="240" w:lineRule="auto"/>
        <w:ind w:right="1260" w:rightChars="600"/>
        <w:jc w:val="right"/>
        <w:rPr>
          <w:rFonts w:hint="eastAsia" w:eastAsia="方正仿宋_GBK"/>
          <w:sz w:val="32"/>
          <w:szCs w:val="32"/>
        </w:rPr>
      </w:pPr>
      <w:r>
        <w:rPr>
          <w:rFonts w:eastAsia="方正仿宋_GBK"/>
          <w:sz w:val="32"/>
          <w:szCs w:val="32"/>
        </w:rPr>
        <w:t>2018年</w:t>
      </w:r>
      <w:r>
        <w:rPr>
          <w:rFonts w:hint="eastAsia" w:eastAsia="方正仿宋_GBK"/>
          <w:sz w:val="32"/>
          <w:szCs w:val="32"/>
        </w:rPr>
        <w:t>9</w:t>
      </w:r>
      <w:r>
        <w:rPr>
          <w:rFonts w:eastAsia="方正仿宋_GBK"/>
          <w:sz w:val="32"/>
          <w:szCs w:val="32"/>
        </w:rPr>
        <w:t>月</w:t>
      </w:r>
      <w:r>
        <w:rPr>
          <w:rFonts w:hint="eastAsia" w:eastAsia="方正仿宋_GBK"/>
          <w:sz w:val="32"/>
          <w:szCs w:val="32"/>
          <w:lang w:val="en-US" w:eastAsia="zh-CN"/>
        </w:rPr>
        <w:t>6</w:t>
      </w:r>
      <w:r>
        <w:rPr>
          <w:rFonts w:eastAsia="方正仿宋_GBK"/>
          <w:sz w:val="32"/>
          <w:szCs w:val="32"/>
        </w:rPr>
        <w:t>日</w:t>
      </w:r>
    </w:p>
    <w:p>
      <w:pPr>
        <w:tabs>
          <w:tab w:val="left" w:pos="7638"/>
        </w:tabs>
        <w:adjustRightInd w:val="0"/>
        <w:snapToGrid w:val="0"/>
        <w:spacing w:line="240" w:lineRule="auto"/>
        <w:ind w:right="1260" w:rightChars="600" w:firstLine="640" w:firstLineChars="200"/>
        <w:jc w:val="left"/>
        <w:rPr>
          <w:rFonts w:hint="eastAsia" w:eastAsia="方正仿宋_GBK"/>
          <w:sz w:val="32"/>
          <w:szCs w:val="32"/>
        </w:rPr>
      </w:pPr>
      <w:r>
        <w:rPr>
          <w:rFonts w:hint="eastAsia" w:eastAsia="方正仿宋_GBK"/>
          <w:sz w:val="32"/>
          <w:szCs w:val="32"/>
        </w:rPr>
        <w:t>（此件公开发布）</w:t>
      </w:r>
    </w:p>
    <w:p>
      <w:pPr>
        <w:tabs>
          <w:tab w:val="left" w:pos="540"/>
          <w:tab w:val="left" w:pos="720"/>
          <w:tab w:val="left" w:pos="8280"/>
          <w:tab w:val="left" w:pos="8460"/>
          <w:tab w:val="left" w:pos="8640"/>
        </w:tabs>
        <w:spacing w:line="240" w:lineRule="auto"/>
        <w:outlineLvl w:val="0"/>
        <w:rPr>
          <w:rFonts w:eastAsia="方正小标宋_GBK"/>
          <w:sz w:val="44"/>
          <w:szCs w:val="44"/>
        </w:rPr>
      </w:pPr>
    </w:p>
    <w:p>
      <w:pPr>
        <w:rPr>
          <w:rFonts w:eastAsia="方正小标宋_GBK"/>
          <w:sz w:val="44"/>
          <w:szCs w:val="44"/>
        </w:rPr>
      </w:pPr>
      <w:r>
        <w:rPr>
          <w:rFonts w:eastAsia="方正小标宋_GBK"/>
          <w:sz w:val="44"/>
          <w:szCs w:val="44"/>
        </w:rPr>
        <w:br w:type="page"/>
      </w:r>
    </w:p>
    <w:p>
      <w:pPr>
        <w:tabs>
          <w:tab w:val="left" w:pos="540"/>
          <w:tab w:val="left" w:pos="720"/>
          <w:tab w:val="left" w:pos="8280"/>
          <w:tab w:val="left" w:pos="8460"/>
          <w:tab w:val="left" w:pos="8640"/>
        </w:tabs>
        <w:spacing w:line="240" w:lineRule="auto"/>
        <w:jc w:val="center"/>
        <w:outlineLvl w:val="0"/>
        <w:rPr>
          <w:rFonts w:eastAsia="方正小标宋_GBK"/>
          <w:sz w:val="44"/>
          <w:szCs w:val="44"/>
        </w:rPr>
      </w:pPr>
    </w:p>
    <w:p>
      <w:pPr>
        <w:tabs>
          <w:tab w:val="left" w:pos="540"/>
          <w:tab w:val="left" w:pos="720"/>
          <w:tab w:val="left" w:pos="8280"/>
          <w:tab w:val="left" w:pos="8460"/>
          <w:tab w:val="left" w:pos="8640"/>
        </w:tabs>
        <w:spacing w:line="240" w:lineRule="auto"/>
        <w:jc w:val="center"/>
        <w:outlineLvl w:val="0"/>
        <w:rPr>
          <w:rFonts w:eastAsia="方正仿宋_GBK"/>
          <w:sz w:val="44"/>
          <w:szCs w:val="44"/>
        </w:rPr>
      </w:pPr>
      <w:r>
        <w:rPr>
          <w:rFonts w:eastAsia="方正小标宋_GBK"/>
          <w:sz w:val="44"/>
          <w:szCs w:val="44"/>
        </w:rPr>
        <w:t>砚山县城市绿线管理办法</w:t>
      </w:r>
    </w:p>
    <w:p>
      <w:pPr>
        <w:spacing w:line="240" w:lineRule="auto"/>
        <w:rPr>
          <w:rFonts w:eastAsia="方正仿宋_GBK"/>
        </w:rPr>
      </w:pPr>
    </w:p>
    <w:p>
      <w:pPr>
        <w:pStyle w:val="10"/>
        <w:spacing w:before="0" w:after="0" w:line="240" w:lineRule="auto"/>
        <w:rPr>
          <w:rFonts w:ascii="Times New Roman" w:hAnsi="Times New Roman" w:eastAsia="方正黑体_GBK"/>
          <w:b w:val="0"/>
          <w:bCs w:val="0"/>
          <w:kern w:val="2"/>
        </w:rPr>
      </w:pPr>
      <w:bookmarkStart w:id="0" w:name="_Toc1303"/>
      <w:bookmarkStart w:id="1" w:name="_Toc20758"/>
      <w:bookmarkStart w:id="2" w:name="_Toc6484"/>
      <w:r>
        <w:rPr>
          <w:rFonts w:ascii="Times New Roman" w:hAnsi="Times New Roman" w:eastAsia="方正黑体_GBK"/>
          <w:b w:val="0"/>
          <w:bCs w:val="0"/>
          <w:kern w:val="2"/>
        </w:rPr>
        <w:t>第一章  总则</w:t>
      </w:r>
      <w:bookmarkEnd w:id="0"/>
      <w:bookmarkEnd w:id="1"/>
      <w:bookmarkEnd w:id="2"/>
    </w:p>
    <w:p>
      <w:pPr>
        <w:spacing w:line="240" w:lineRule="auto"/>
        <w:rPr>
          <w:rFonts w:eastAsia="方正仿宋_GBK"/>
          <w:sz w:val="32"/>
          <w:szCs w:val="32"/>
        </w:rPr>
      </w:pPr>
      <w:r>
        <w:rPr>
          <w:rFonts w:eastAsia="方正仿宋_GBK"/>
          <w:sz w:val="24"/>
        </w:rPr>
        <w:t xml:space="preserve">    </w:t>
      </w:r>
      <w:r>
        <w:rPr>
          <w:rFonts w:eastAsia="方正仿宋_GBK"/>
          <w:sz w:val="32"/>
          <w:szCs w:val="32"/>
        </w:rPr>
        <w:t xml:space="preserve"> </w:t>
      </w:r>
      <w:r>
        <w:rPr>
          <w:rFonts w:eastAsia="方正黑体_GBK"/>
          <w:sz w:val="32"/>
          <w:szCs w:val="32"/>
        </w:rPr>
        <w:t xml:space="preserve">第一条  </w:t>
      </w:r>
      <w:r>
        <w:rPr>
          <w:rFonts w:eastAsia="方正仿宋_GBK"/>
          <w:sz w:val="32"/>
          <w:szCs w:val="32"/>
        </w:rPr>
        <w:t>为建立并严格实行城市绿线管理制度，加强城市生态建设和环境保护，改善人居环境，促进城市可持续发展，根据《中华人民共和国城乡规划法》《城市绿化条例》《城市绿线管理办法》《云南省城市绿化办法》等有关法律、法规、规章的规定，结合本县实际，制定本办法。</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第二条  </w:t>
      </w:r>
      <w:r>
        <w:rPr>
          <w:rFonts w:eastAsia="方正仿宋_GBK"/>
          <w:sz w:val="32"/>
          <w:szCs w:val="32"/>
        </w:rPr>
        <w:t>本办法所称城市绿线，是指城市各类绿地范围（公园绿地、生产绿地、防护绿地、附属绿地及其他绿地）的控制线，包括已建成绿地的控制线和规划预留绿地的控制线。</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第三条  </w:t>
      </w:r>
      <w:r>
        <w:rPr>
          <w:rFonts w:eastAsia="方正仿宋_GBK"/>
          <w:sz w:val="32"/>
          <w:szCs w:val="32"/>
        </w:rPr>
        <w:t>本办法适用于砚山县县城城市规划区范围内城市绿线的划定、监督和管理。</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第四条  </w:t>
      </w:r>
      <w:r>
        <w:rPr>
          <w:rFonts w:eastAsia="方正仿宋_GBK"/>
          <w:sz w:val="32"/>
          <w:szCs w:val="32"/>
        </w:rPr>
        <w:t>砚山县城市管理行政主管部门是本县县城规划区范围内城市绿线管理工作的行政主管部门，负责本办法的组织实施。并做好城市绿线的划定和监督管理工作。</w:t>
      </w:r>
    </w:p>
    <w:p>
      <w:pPr>
        <w:spacing w:line="240" w:lineRule="auto"/>
        <w:rPr>
          <w:rFonts w:eastAsia="方正仿宋_GBK"/>
          <w:sz w:val="32"/>
          <w:szCs w:val="32"/>
        </w:rPr>
      </w:pPr>
      <w:r>
        <w:rPr>
          <w:rFonts w:eastAsia="方正仿宋_GBK"/>
          <w:sz w:val="32"/>
          <w:szCs w:val="32"/>
        </w:rPr>
        <w:t xml:space="preserve">    国土</w:t>
      </w:r>
      <w:r>
        <w:rPr>
          <w:rFonts w:hint="eastAsia" w:eastAsia="方正仿宋_GBK"/>
          <w:sz w:val="32"/>
          <w:szCs w:val="32"/>
        </w:rPr>
        <w:t>资源</w:t>
      </w:r>
      <w:r>
        <w:rPr>
          <w:rFonts w:eastAsia="方正仿宋_GBK"/>
          <w:sz w:val="32"/>
          <w:szCs w:val="32"/>
        </w:rPr>
        <w:t>、水务、林业、</w:t>
      </w:r>
      <w:r>
        <w:rPr>
          <w:rFonts w:hint="eastAsia" w:eastAsia="方正仿宋_GBK"/>
          <w:sz w:val="32"/>
          <w:szCs w:val="32"/>
        </w:rPr>
        <w:t>环境保护</w:t>
      </w:r>
      <w:r>
        <w:rPr>
          <w:rFonts w:eastAsia="方正仿宋_GBK"/>
          <w:sz w:val="32"/>
          <w:szCs w:val="32"/>
        </w:rPr>
        <w:t>、财政、交通、公安、文广体旅等有关部门应在各自职责范围内，共同做好城市绿线的管理工作。</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第五条  </w:t>
      </w:r>
      <w:r>
        <w:rPr>
          <w:rFonts w:eastAsia="方正仿宋_GBK"/>
          <w:sz w:val="32"/>
          <w:szCs w:val="32"/>
        </w:rPr>
        <w:t>城市绿线应该按照砚山县城市总体规划和城市绿地系统规划、控制性详细规划、修建性详细规划划定，没有划定的按照本办法划定。</w:t>
      </w:r>
      <w:r>
        <w:rPr>
          <w:rFonts w:hint="eastAsia" w:eastAsia="方正仿宋_GBK"/>
          <w:sz w:val="32"/>
          <w:szCs w:val="32"/>
        </w:rPr>
        <w:t>住房城乡建设</w:t>
      </w:r>
      <w:r>
        <w:rPr>
          <w:rFonts w:eastAsia="方正仿宋_GBK"/>
          <w:sz w:val="32"/>
          <w:szCs w:val="32"/>
        </w:rPr>
        <w:t>部门应当结合实际，组织编制城市绿地系统规划。</w:t>
      </w:r>
    </w:p>
    <w:p>
      <w:pPr>
        <w:pStyle w:val="10"/>
        <w:spacing w:before="0" w:after="0" w:line="240" w:lineRule="auto"/>
        <w:rPr>
          <w:rFonts w:ascii="Times New Roman" w:hAnsi="Times New Roman" w:eastAsia="方正黑体_GBK"/>
          <w:b w:val="0"/>
          <w:bCs w:val="0"/>
          <w:kern w:val="2"/>
        </w:rPr>
      </w:pPr>
      <w:bookmarkStart w:id="3" w:name="_Toc15511"/>
      <w:bookmarkStart w:id="4" w:name="_Toc13175"/>
      <w:bookmarkStart w:id="5" w:name="_Toc27517"/>
    </w:p>
    <w:p>
      <w:pPr>
        <w:pStyle w:val="10"/>
        <w:spacing w:before="0" w:after="0" w:line="240" w:lineRule="auto"/>
        <w:rPr>
          <w:rFonts w:ascii="Times New Roman" w:hAnsi="Times New Roman" w:eastAsia="方正黑体_GBK"/>
          <w:b w:val="0"/>
          <w:bCs w:val="0"/>
          <w:kern w:val="2"/>
        </w:rPr>
      </w:pPr>
      <w:bookmarkStart w:id="15" w:name="_GoBack"/>
      <w:bookmarkEnd w:id="15"/>
      <w:r>
        <w:rPr>
          <w:rFonts w:ascii="Times New Roman" w:hAnsi="Times New Roman" w:eastAsia="方正黑体_GBK"/>
          <w:b w:val="0"/>
          <w:bCs w:val="0"/>
          <w:kern w:val="2"/>
        </w:rPr>
        <w:t>第二章  绿线规定</w:t>
      </w:r>
      <w:bookmarkEnd w:id="3"/>
      <w:bookmarkEnd w:id="4"/>
      <w:bookmarkEnd w:id="5"/>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第六条  </w:t>
      </w:r>
      <w:r>
        <w:rPr>
          <w:rFonts w:eastAsia="方正仿宋_GBK"/>
          <w:sz w:val="32"/>
          <w:szCs w:val="32"/>
        </w:rPr>
        <w:t>城市绿地系统规划是城市总体规划的组成部分，是确定城市绿化目标和布局、划定城市各类绿地控制指标的重要依据，按照《城市绿地分类标准》划定绿化用地面积，分层次合理布局公共绿地，确定防护绿地、公园绿地等绿线。城市绿地系统规划中的城市绿线应包括以下内容：</w:t>
      </w:r>
    </w:p>
    <w:p>
      <w:pPr>
        <w:spacing w:line="240" w:lineRule="auto"/>
        <w:rPr>
          <w:rFonts w:eastAsia="方正仿宋_GBK"/>
          <w:sz w:val="32"/>
          <w:szCs w:val="32"/>
        </w:rPr>
      </w:pPr>
      <w:r>
        <w:rPr>
          <w:rFonts w:eastAsia="方正仿宋_GBK"/>
          <w:sz w:val="32"/>
          <w:szCs w:val="32"/>
        </w:rPr>
        <w:t xml:space="preserve">    （一）公园绿地； </w:t>
      </w:r>
    </w:p>
    <w:p>
      <w:pPr>
        <w:spacing w:line="240" w:lineRule="auto"/>
        <w:rPr>
          <w:rFonts w:eastAsia="方正仿宋_GBK"/>
          <w:sz w:val="32"/>
          <w:szCs w:val="32"/>
        </w:rPr>
      </w:pPr>
      <w:r>
        <w:rPr>
          <w:rFonts w:eastAsia="方正仿宋_GBK"/>
          <w:sz w:val="32"/>
          <w:szCs w:val="32"/>
        </w:rPr>
        <w:t xml:space="preserve">    （二）防护绿地；</w:t>
      </w:r>
    </w:p>
    <w:p>
      <w:pPr>
        <w:spacing w:line="240" w:lineRule="auto"/>
        <w:ind w:firstLine="630"/>
        <w:rPr>
          <w:rFonts w:eastAsia="方正仿宋_GBK"/>
          <w:sz w:val="32"/>
          <w:szCs w:val="32"/>
        </w:rPr>
      </w:pPr>
      <w:r>
        <w:rPr>
          <w:rFonts w:eastAsia="方正仿宋_GBK"/>
          <w:sz w:val="32"/>
          <w:szCs w:val="32"/>
        </w:rPr>
        <w:t>（三）生产绿地；</w:t>
      </w:r>
    </w:p>
    <w:p>
      <w:pPr>
        <w:spacing w:line="240" w:lineRule="auto"/>
        <w:ind w:firstLine="630"/>
        <w:rPr>
          <w:rFonts w:eastAsia="方正仿宋_GBK"/>
          <w:sz w:val="32"/>
          <w:szCs w:val="32"/>
        </w:rPr>
      </w:pPr>
      <w:r>
        <w:rPr>
          <w:rFonts w:eastAsia="方正仿宋_GBK"/>
          <w:sz w:val="32"/>
          <w:szCs w:val="32"/>
        </w:rPr>
        <w:t>（四）附属绿地；</w:t>
      </w:r>
    </w:p>
    <w:p>
      <w:pPr>
        <w:spacing w:line="240" w:lineRule="auto"/>
        <w:ind w:firstLine="630"/>
        <w:rPr>
          <w:rFonts w:eastAsia="方正仿宋_GBK"/>
          <w:sz w:val="32"/>
          <w:szCs w:val="32"/>
        </w:rPr>
      </w:pPr>
      <w:r>
        <w:rPr>
          <w:rFonts w:eastAsia="方正仿宋_GBK"/>
          <w:sz w:val="32"/>
          <w:szCs w:val="32"/>
        </w:rPr>
        <w:t>（五）其他绿地。</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第七条  </w:t>
      </w:r>
      <w:r>
        <w:rPr>
          <w:rFonts w:eastAsia="方正仿宋_GBK"/>
          <w:sz w:val="32"/>
          <w:szCs w:val="32"/>
        </w:rPr>
        <w:t>控制性详细规划应当提出不同类型用地的界线，规定绿化率控制指标和绿化用地界线的具体坐标。控制性详细规划中的城市绿线应当包括以下内容：</w:t>
      </w:r>
    </w:p>
    <w:p>
      <w:pPr>
        <w:spacing w:line="240" w:lineRule="auto"/>
        <w:rPr>
          <w:rFonts w:eastAsia="方正仿宋_GBK"/>
          <w:sz w:val="32"/>
          <w:szCs w:val="32"/>
        </w:rPr>
      </w:pPr>
      <w:r>
        <w:rPr>
          <w:rFonts w:eastAsia="方正仿宋_GBK"/>
          <w:sz w:val="32"/>
          <w:szCs w:val="32"/>
        </w:rPr>
        <w:t xml:space="preserve">    （一）公园绿地社区公园中的居住区公园</w:t>
      </w:r>
      <w:r>
        <w:rPr>
          <w:rFonts w:hint="eastAsia" w:eastAsia="方正仿宋_GBK"/>
          <w:sz w:val="32"/>
          <w:szCs w:val="32"/>
        </w:rPr>
        <w:t>；</w:t>
      </w:r>
    </w:p>
    <w:p>
      <w:pPr>
        <w:spacing w:line="240" w:lineRule="auto"/>
        <w:rPr>
          <w:rFonts w:eastAsia="方正仿宋_GBK"/>
          <w:sz w:val="32"/>
          <w:szCs w:val="32"/>
        </w:rPr>
      </w:pPr>
      <w:r>
        <w:rPr>
          <w:rFonts w:eastAsia="方正仿宋_GBK"/>
          <w:sz w:val="32"/>
          <w:szCs w:val="32"/>
        </w:rPr>
        <w:t xml:space="preserve">    （二）公园绿地中的带状公园、街旁绿地</w:t>
      </w:r>
      <w:r>
        <w:rPr>
          <w:rFonts w:hint="eastAsia" w:eastAsia="方正仿宋_GBK"/>
          <w:sz w:val="32"/>
          <w:szCs w:val="32"/>
        </w:rPr>
        <w:t>；</w:t>
      </w:r>
    </w:p>
    <w:p>
      <w:pPr>
        <w:spacing w:line="240" w:lineRule="auto"/>
        <w:rPr>
          <w:rFonts w:eastAsia="方正仿宋_GBK"/>
          <w:sz w:val="32"/>
          <w:szCs w:val="32"/>
        </w:rPr>
      </w:pPr>
      <w:r>
        <w:rPr>
          <w:rFonts w:eastAsia="方正仿宋_GBK"/>
          <w:sz w:val="32"/>
          <w:szCs w:val="32"/>
        </w:rPr>
        <w:t xml:space="preserve">    （三）防护绿地</w:t>
      </w:r>
      <w:r>
        <w:rPr>
          <w:rFonts w:hint="eastAsia" w:eastAsia="方正仿宋_GBK"/>
          <w:sz w:val="32"/>
          <w:szCs w:val="32"/>
        </w:rPr>
        <w:t>；</w:t>
      </w:r>
    </w:p>
    <w:p>
      <w:pPr>
        <w:spacing w:line="240" w:lineRule="auto"/>
        <w:rPr>
          <w:rFonts w:eastAsia="方正仿宋_GBK"/>
          <w:sz w:val="32"/>
          <w:szCs w:val="32"/>
        </w:rPr>
      </w:pPr>
      <w:r>
        <w:rPr>
          <w:rFonts w:eastAsia="方正仿宋_GBK"/>
          <w:sz w:val="32"/>
          <w:szCs w:val="32"/>
        </w:rPr>
        <w:t xml:space="preserve">    （四）附属绿地中的道路绿地。</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第八条  </w:t>
      </w:r>
      <w:r>
        <w:rPr>
          <w:rFonts w:eastAsia="方正仿宋_GBK"/>
          <w:sz w:val="32"/>
          <w:szCs w:val="32"/>
        </w:rPr>
        <w:t>修建性详细规划应当根据控制性详细规划，针对各类建设工程项目明确绿化布局，提出绿化配置的原则或者方案，划定绿地界线。修建性详细规划划定的城市绿线应当包括以下内容：</w:t>
      </w:r>
    </w:p>
    <w:p>
      <w:pPr>
        <w:spacing w:line="240" w:lineRule="auto"/>
        <w:rPr>
          <w:rFonts w:eastAsia="方正仿宋_GBK"/>
          <w:sz w:val="32"/>
          <w:szCs w:val="32"/>
        </w:rPr>
      </w:pPr>
      <w:r>
        <w:rPr>
          <w:rFonts w:eastAsia="方正仿宋_GBK"/>
          <w:sz w:val="32"/>
          <w:szCs w:val="32"/>
        </w:rPr>
        <w:t xml:space="preserve">    （一）公园绿地社区公园中的小游园</w:t>
      </w:r>
      <w:r>
        <w:rPr>
          <w:rFonts w:hint="eastAsia" w:eastAsia="方正仿宋_GBK"/>
          <w:sz w:val="32"/>
          <w:szCs w:val="32"/>
        </w:rPr>
        <w:t>；</w:t>
      </w:r>
    </w:p>
    <w:p>
      <w:pPr>
        <w:spacing w:line="240" w:lineRule="auto"/>
        <w:rPr>
          <w:rFonts w:eastAsia="方正仿宋_GBK"/>
          <w:sz w:val="32"/>
          <w:szCs w:val="32"/>
        </w:rPr>
      </w:pPr>
      <w:r>
        <w:rPr>
          <w:rFonts w:eastAsia="方正仿宋_GBK"/>
          <w:sz w:val="32"/>
          <w:szCs w:val="32"/>
        </w:rPr>
        <w:t xml:space="preserve">    （二）附属绿地中的居住绿地、公共设施绿地、仓储绿地、市政设施绿地、对外交通绿地以及其他特殊绿地等。</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第九条  </w:t>
      </w:r>
      <w:r>
        <w:rPr>
          <w:rFonts w:eastAsia="方正仿宋_GBK"/>
          <w:sz w:val="32"/>
          <w:szCs w:val="32"/>
        </w:rPr>
        <w:t xml:space="preserve">砚山县城市公园绿地中的综合公园、专类公园按照现状用地范围划定城市绿线。规划公园绿地中的综合公园、专类公园按照规划用地范围划定城市绿线。 </w:t>
      </w:r>
    </w:p>
    <w:p>
      <w:pPr>
        <w:spacing w:line="240" w:lineRule="auto"/>
        <w:rPr>
          <w:rFonts w:eastAsia="方正仿宋_GBK"/>
          <w:sz w:val="32"/>
          <w:szCs w:val="32"/>
        </w:rPr>
      </w:pPr>
      <w:r>
        <w:rPr>
          <w:rFonts w:eastAsia="方正仿宋_GBK"/>
          <w:sz w:val="32"/>
          <w:szCs w:val="32"/>
        </w:rPr>
        <w:t xml:space="preserve">    公园绿地外围划定一定范围的景观协调区。</w:t>
      </w:r>
    </w:p>
    <w:p>
      <w:pPr>
        <w:spacing w:line="240" w:lineRule="auto"/>
        <w:rPr>
          <w:rFonts w:eastAsia="方正仿宋_GBK"/>
          <w:sz w:val="32"/>
          <w:szCs w:val="32"/>
        </w:rPr>
      </w:pPr>
      <w:r>
        <w:rPr>
          <w:rFonts w:eastAsia="方正仿宋_GBK"/>
          <w:sz w:val="32"/>
          <w:szCs w:val="32"/>
        </w:rPr>
        <w:t xml:space="preserve">    城市绿地的审批、调整，按照《中华人民共和国城乡规划法》《城市绿化条例》《城市绿线管理办法》《云南省城市绿化办法》等相关法律法规的规定进行。</w:t>
      </w:r>
    </w:p>
    <w:p>
      <w:pPr>
        <w:pStyle w:val="10"/>
        <w:spacing w:before="0" w:after="0" w:line="240" w:lineRule="auto"/>
        <w:rPr>
          <w:rFonts w:ascii="Times New Roman" w:hAnsi="Times New Roman" w:eastAsia="方正黑体_GBK"/>
          <w:b w:val="0"/>
          <w:bCs w:val="0"/>
          <w:kern w:val="2"/>
        </w:rPr>
      </w:pPr>
      <w:bookmarkStart w:id="6" w:name="_Toc588"/>
      <w:bookmarkStart w:id="7" w:name="_Toc10995"/>
      <w:bookmarkStart w:id="8" w:name="_Toc17279"/>
    </w:p>
    <w:p>
      <w:pPr>
        <w:pStyle w:val="10"/>
        <w:spacing w:before="0" w:after="0" w:line="240" w:lineRule="auto"/>
        <w:rPr>
          <w:rFonts w:ascii="Times New Roman" w:hAnsi="Times New Roman" w:eastAsia="方正黑体_GBK"/>
          <w:b w:val="0"/>
          <w:bCs w:val="0"/>
          <w:kern w:val="2"/>
        </w:rPr>
      </w:pPr>
      <w:r>
        <w:rPr>
          <w:rFonts w:ascii="Times New Roman" w:hAnsi="Times New Roman" w:eastAsia="方正黑体_GBK"/>
          <w:b w:val="0"/>
          <w:bCs w:val="0"/>
          <w:kern w:val="2"/>
        </w:rPr>
        <w:t>第三章  绿地管理</w:t>
      </w:r>
      <w:bookmarkEnd w:id="6"/>
      <w:bookmarkEnd w:id="7"/>
      <w:bookmarkEnd w:id="8"/>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第十条  </w:t>
      </w:r>
      <w:r>
        <w:rPr>
          <w:rFonts w:eastAsia="方正仿宋_GBK"/>
          <w:sz w:val="32"/>
          <w:szCs w:val="32"/>
        </w:rPr>
        <w:t>砚山县城市绿地系统规划经县</w:t>
      </w:r>
      <w:r>
        <w:rPr>
          <w:rFonts w:hint="eastAsia" w:eastAsia="方正仿宋_GBK"/>
          <w:sz w:val="32"/>
          <w:szCs w:val="32"/>
        </w:rPr>
        <w:t>人民</w:t>
      </w:r>
      <w:r>
        <w:rPr>
          <w:rFonts w:eastAsia="方正仿宋_GBK"/>
          <w:sz w:val="32"/>
          <w:szCs w:val="32"/>
        </w:rPr>
        <w:t>政府批准后，由规划行政主管部门公布。</w:t>
      </w:r>
    </w:p>
    <w:p>
      <w:pPr>
        <w:spacing w:line="240" w:lineRule="auto"/>
        <w:rPr>
          <w:rFonts w:eastAsia="方正仿宋_GBK"/>
          <w:sz w:val="32"/>
          <w:szCs w:val="32"/>
        </w:rPr>
      </w:pPr>
      <w:r>
        <w:rPr>
          <w:rFonts w:eastAsia="方正仿宋_GBK"/>
          <w:sz w:val="32"/>
          <w:szCs w:val="32"/>
        </w:rPr>
        <w:t xml:space="preserve">    控制性详细规划划定的城市绿线，由规划行政主管部门公布。</w:t>
      </w:r>
    </w:p>
    <w:p>
      <w:pPr>
        <w:spacing w:line="240" w:lineRule="auto"/>
        <w:rPr>
          <w:rFonts w:eastAsia="方正仿宋_GBK"/>
          <w:sz w:val="32"/>
          <w:szCs w:val="32"/>
        </w:rPr>
      </w:pPr>
      <w:r>
        <w:rPr>
          <w:rFonts w:eastAsia="方正仿宋_GBK"/>
          <w:sz w:val="32"/>
          <w:szCs w:val="32"/>
        </w:rPr>
        <w:t xml:space="preserve">    修建性详细规划划定的城市绿线，由建设单位连同建设工程项目规划的其他内容一并进行公布。 </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第十一条  </w:t>
      </w:r>
      <w:r>
        <w:rPr>
          <w:rFonts w:eastAsia="方正仿宋_GBK"/>
          <w:sz w:val="32"/>
          <w:szCs w:val="32"/>
        </w:rPr>
        <w:t>划定城市绿线为现有绿地的，由砚山县城市管理行政主管部门按照属地管理的原则确定管理单位，并登记造册、存档，建立现有城市绿地和规划绿地的数据库，实施绿地数据动态管理。</w:t>
      </w:r>
    </w:p>
    <w:p>
      <w:pPr>
        <w:spacing w:line="240" w:lineRule="auto"/>
        <w:rPr>
          <w:rFonts w:eastAsia="方正仿宋_GBK"/>
          <w:sz w:val="32"/>
          <w:szCs w:val="32"/>
        </w:rPr>
      </w:pPr>
      <w:r>
        <w:rPr>
          <w:rFonts w:eastAsia="方正仿宋_GBK"/>
          <w:sz w:val="32"/>
          <w:szCs w:val="32"/>
        </w:rPr>
        <w:t xml:space="preserve">    划定城市绿线为规划绿地的，由规划行政主管部门和园林绿化行政主管部门共同负责监督管理。</w:t>
      </w:r>
    </w:p>
    <w:p>
      <w:pPr>
        <w:spacing w:line="240" w:lineRule="auto"/>
        <w:rPr>
          <w:rFonts w:eastAsia="方正仿宋_GBK"/>
          <w:sz w:val="32"/>
          <w:szCs w:val="32"/>
        </w:rPr>
      </w:pPr>
      <w:r>
        <w:rPr>
          <w:rFonts w:eastAsia="方正仿宋_GBK"/>
          <w:sz w:val="32"/>
          <w:szCs w:val="32"/>
        </w:rPr>
        <w:t xml:space="preserve">    在砚山县城市规划区内各类建设工程项目应当与其配套的城市绿地同步设计、同步施工、同步验收。附属绿地建设未按规定标准建设的，其建设工程项目不得验收。因建设或者其他特殊情况，需要临时占用城市绿线内用地的，必须依法办理相关审批手续。</w:t>
      </w:r>
    </w:p>
    <w:p>
      <w:pPr>
        <w:spacing w:line="240" w:lineRule="auto"/>
        <w:rPr>
          <w:rFonts w:eastAsia="方正仿宋_GBK"/>
          <w:sz w:val="32"/>
          <w:szCs w:val="32"/>
        </w:rPr>
      </w:pPr>
      <w:r>
        <w:rPr>
          <w:rFonts w:eastAsia="方正仿宋_GBK"/>
          <w:sz w:val="32"/>
          <w:szCs w:val="32"/>
        </w:rPr>
        <w:t xml:space="preserve">    （一）因市政建设或者其他特殊情况，需要临时占用尚未进行绿化建设的城市绿线范围内土地的，必须向砚山县城市管理行政主管部门依法办理临时用地和临时建设许可手续，并进行环境测评，经县人民政府审批后方可进行建设。如因绿化建设需要收回该土地时，建设方应主动配合并无条件拆除该地块附着建筑物和其他设施。</w:t>
      </w:r>
    </w:p>
    <w:p>
      <w:pPr>
        <w:spacing w:line="240" w:lineRule="auto"/>
        <w:rPr>
          <w:rFonts w:eastAsia="方正仿宋_GBK"/>
          <w:sz w:val="32"/>
          <w:szCs w:val="32"/>
        </w:rPr>
      </w:pPr>
      <w:r>
        <w:rPr>
          <w:rFonts w:eastAsia="方正仿宋_GBK"/>
          <w:sz w:val="32"/>
          <w:szCs w:val="32"/>
        </w:rPr>
        <w:t xml:space="preserve">    （二）因市政建设或者其他特殊情况，需要临时占用已经进行绿化建设的城市绿线范围内土地的，必须经砚山县城市管理行政主管部门组织专家论证并落实补偿措施和重新绿化时限，同时按照程序批准后方可占用。经批准临时占用绿地的，应当按照批准占用的面积和期限归还，归还时，应当原地原样恢复绿地。</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第十二条  </w:t>
      </w:r>
      <w:r>
        <w:rPr>
          <w:rFonts w:eastAsia="方正仿宋_GBK"/>
          <w:sz w:val="32"/>
          <w:szCs w:val="32"/>
        </w:rPr>
        <w:t>城市规划区内各类建设工程项目的选址，必须符合城市绿地系统规划的要求。城市绿线内的用地，不得改作他用，不得违反强制性标准以及批准的规划进行开发建设。任何单位和个人不得擅自变更和调整城市绿线，因特殊情况确需调整的，依照下列规定办理：</w:t>
      </w:r>
    </w:p>
    <w:p>
      <w:pPr>
        <w:spacing w:line="240" w:lineRule="auto"/>
        <w:rPr>
          <w:rFonts w:eastAsia="方正仿宋_GBK"/>
          <w:sz w:val="32"/>
          <w:szCs w:val="32"/>
        </w:rPr>
      </w:pPr>
      <w:r>
        <w:rPr>
          <w:rFonts w:eastAsia="方正仿宋_GBK"/>
          <w:sz w:val="32"/>
          <w:szCs w:val="32"/>
        </w:rPr>
        <w:t xml:space="preserve">    （一）调整城市总体规划确定的城市各类园林绿地布局的，由县城市管理行政主管部门组织论证，按法定程序审批后，方可进行调整。</w:t>
      </w:r>
    </w:p>
    <w:p>
      <w:pPr>
        <w:spacing w:line="240" w:lineRule="auto"/>
        <w:rPr>
          <w:rFonts w:eastAsia="方正仿宋_GBK"/>
          <w:sz w:val="32"/>
          <w:szCs w:val="32"/>
        </w:rPr>
      </w:pPr>
      <w:r>
        <w:rPr>
          <w:rFonts w:eastAsia="方正仿宋_GBK"/>
          <w:sz w:val="32"/>
          <w:szCs w:val="32"/>
        </w:rPr>
        <w:t xml:space="preserve">    （二）调整城市绿地系统规划确定的城市公园绿地、生产绿地、防护绿地、附属绿地及其他绿地的绿线界线，由县城市管理行政主管部门组织讨论，并将调整方案报县人民政府审批后方可进行变更和调整。</w:t>
      </w:r>
    </w:p>
    <w:p>
      <w:pPr>
        <w:spacing w:line="240" w:lineRule="auto"/>
        <w:rPr>
          <w:rFonts w:eastAsia="方正仿宋_GBK"/>
          <w:sz w:val="32"/>
          <w:szCs w:val="32"/>
        </w:rPr>
      </w:pPr>
      <w:r>
        <w:rPr>
          <w:rFonts w:eastAsia="方正仿宋_GBK"/>
          <w:sz w:val="32"/>
          <w:szCs w:val="32"/>
        </w:rPr>
        <w:t xml:space="preserve">    有关部门不得违反规定，批准在城市绿线范围内进行的建设；因建设或者其他特殊情况，需要临时占用城市绿线内用地的，必须依法办理相关审批手续。</w:t>
      </w:r>
    </w:p>
    <w:p>
      <w:pPr>
        <w:spacing w:line="240" w:lineRule="auto"/>
        <w:rPr>
          <w:rFonts w:eastAsia="方正仿宋_GBK"/>
          <w:sz w:val="32"/>
          <w:szCs w:val="32"/>
        </w:rPr>
      </w:pPr>
      <w:r>
        <w:rPr>
          <w:rFonts w:eastAsia="方正仿宋_GBK"/>
          <w:sz w:val="32"/>
          <w:szCs w:val="32"/>
        </w:rPr>
        <w:t xml:space="preserve">    在城市绿线范围内，不符合规划要求的建筑物、构筑物及其他设施应当限期拆除。</w:t>
      </w:r>
    </w:p>
    <w:p>
      <w:pPr>
        <w:spacing w:line="240" w:lineRule="auto"/>
        <w:rPr>
          <w:rFonts w:eastAsia="方正仿宋_GBK"/>
          <w:sz w:val="32"/>
          <w:szCs w:val="32"/>
        </w:rPr>
      </w:pPr>
      <w:r>
        <w:rPr>
          <w:rFonts w:eastAsia="方正仿宋_GBK"/>
          <w:sz w:val="32"/>
          <w:szCs w:val="32"/>
        </w:rPr>
        <w:t xml:space="preserve">    批准的城市绿线要向社会公布，接受公众监督。</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第十三条  </w:t>
      </w:r>
      <w:r>
        <w:rPr>
          <w:rFonts w:eastAsia="方正仿宋_GBK"/>
          <w:sz w:val="32"/>
          <w:szCs w:val="32"/>
        </w:rPr>
        <w:t xml:space="preserve">任何单位和个人都有保护城市绿地、服从城市绿线管理的义务，有监督城市绿线管理、对违反城市绿线管理行为进行检举的权利。 </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第十四条  </w:t>
      </w:r>
      <w:r>
        <w:rPr>
          <w:rFonts w:eastAsia="方正仿宋_GBK"/>
          <w:sz w:val="32"/>
          <w:szCs w:val="32"/>
        </w:rPr>
        <w:t>城市绿线范围内的公园绿地、防护绿地、生产绿地、居住区附属绿地、单位附属绿地、道路附属绿地等，必须按照《城市用地分类与规划建设用地标准》《公园设计规范》等标准，进行绿地建设。</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第十五条  </w:t>
      </w:r>
      <w:r>
        <w:rPr>
          <w:rFonts w:eastAsia="方正仿宋_GBK"/>
          <w:sz w:val="32"/>
          <w:szCs w:val="32"/>
        </w:rPr>
        <w:t>任何单位和个人不得在城市绿地范围内进行拦河截溪、取土采石、设置垃圾堆场、排放污水以及其他对生态环境构成破坏的活动，由县城市管理行政主管部门责令改正，并按相关法律法规及规章进行处罚。在城市绿线范围内，禁止下列行为：</w:t>
      </w:r>
    </w:p>
    <w:p>
      <w:pPr>
        <w:spacing w:line="240" w:lineRule="auto"/>
        <w:rPr>
          <w:rFonts w:eastAsia="方正仿宋_GBK"/>
          <w:sz w:val="32"/>
          <w:szCs w:val="32"/>
        </w:rPr>
      </w:pPr>
      <w:r>
        <w:rPr>
          <w:rFonts w:eastAsia="方正仿宋_GBK"/>
          <w:sz w:val="32"/>
          <w:szCs w:val="32"/>
        </w:rPr>
        <w:t xml:space="preserve">    （一）倾倒、排放有毒有害物质，堆放、焚烧物料；</w:t>
      </w:r>
    </w:p>
    <w:p>
      <w:pPr>
        <w:spacing w:line="240" w:lineRule="auto"/>
        <w:rPr>
          <w:rFonts w:eastAsia="方正仿宋_GBK"/>
          <w:sz w:val="32"/>
          <w:szCs w:val="32"/>
        </w:rPr>
      </w:pPr>
      <w:r>
        <w:rPr>
          <w:rFonts w:eastAsia="方正仿宋_GBK"/>
          <w:sz w:val="32"/>
          <w:szCs w:val="32"/>
        </w:rPr>
        <w:t xml:space="preserve">    （二）攀折、损毁植物；</w:t>
      </w:r>
    </w:p>
    <w:p>
      <w:pPr>
        <w:spacing w:line="240" w:lineRule="auto"/>
        <w:rPr>
          <w:rFonts w:eastAsia="方正仿宋_GBK"/>
          <w:sz w:val="32"/>
          <w:szCs w:val="32"/>
        </w:rPr>
      </w:pPr>
      <w:r>
        <w:rPr>
          <w:rFonts w:eastAsia="方正仿宋_GBK"/>
          <w:sz w:val="32"/>
          <w:szCs w:val="32"/>
        </w:rPr>
        <w:t xml:space="preserve">    （三）擅自搭建房屋、广告牌等建筑物或构筑物；</w:t>
      </w:r>
    </w:p>
    <w:p>
      <w:pPr>
        <w:spacing w:line="240" w:lineRule="auto"/>
        <w:rPr>
          <w:rFonts w:eastAsia="方正仿宋_GBK"/>
          <w:sz w:val="32"/>
          <w:szCs w:val="32"/>
        </w:rPr>
      </w:pPr>
      <w:r>
        <w:rPr>
          <w:rFonts w:eastAsia="方正仿宋_GBK"/>
          <w:sz w:val="32"/>
          <w:szCs w:val="32"/>
        </w:rPr>
        <w:t xml:space="preserve">    （四）擅自排放污水、堆放杂物；</w:t>
      </w:r>
    </w:p>
    <w:p>
      <w:pPr>
        <w:spacing w:line="240" w:lineRule="auto"/>
        <w:rPr>
          <w:rFonts w:eastAsia="方正仿宋_GBK"/>
          <w:sz w:val="32"/>
          <w:szCs w:val="32"/>
        </w:rPr>
      </w:pPr>
      <w:r>
        <w:rPr>
          <w:rFonts w:eastAsia="方正仿宋_GBK"/>
          <w:sz w:val="32"/>
          <w:szCs w:val="32"/>
        </w:rPr>
        <w:t xml:space="preserve">    （五）擅自移栽、砍伐、侵占和损坏绿地、植被、绿化设施。</w:t>
      </w:r>
    </w:p>
    <w:p>
      <w:pPr>
        <w:spacing w:line="240" w:lineRule="auto"/>
        <w:rPr>
          <w:rFonts w:eastAsia="方正仿宋_GBK"/>
          <w:sz w:val="32"/>
          <w:szCs w:val="32"/>
        </w:rPr>
      </w:pPr>
      <w:r>
        <w:rPr>
          <w:rFonts w:eastAsia="方正仿宋_GBK"/>
          <w:sz w:val="32"/>
          <w:szCs w:val="32"/>
        </w:rPr>
        <w:t xml:space="preserve">    在规划绿地范围内近期不进行绿化建设的建设项目，应当进行生态环境影响分析，并按照《中华人民共和国城乡规划法》的规定，予以严格控制。 </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第十六条  </w:t>
      </w:r>
      <w:r>
        <w:rPr>
          <w:rFonts w:eastAsia="方正仿宋_GBK"/>
          <w:sz w:val="32"/>
          <w:szCs w:val="32"/>
        </w:rPr>
        <w:t xml:space="preserve">砚山县城市管理行政主管部门按照职责分工，对城市绿线的控制和实施情况进行不定期检查，并向同级人民政府和上级行政主管部门报告。 </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第十七条  </w:t>
      </w:r>
      <w:r>
        <w:rPr>
          <w:rFonts w:eastAsia="方正仿宋_GBK"/>
          <w:sz w:val="32"/>
          <w:szCs w:val="32"/>
        </w:rPr>
        <w:t xml:space="preserve">砚山县城市管理行政主管部门应当定期对城市规划区内的城市绿线的管理情况进行监督检查，对违法行为及时纠正。 </w:t>
      </w:r>
    </w:p>
    <w:p>
      <w:pPr>
        <w:spacing w:line="240" w:lineRule="auto"/>
        <w:ind w:firstLine="640"/>
        <w:rPr>
          <w:rFonts w:eastAsia="方正仿宋_GBK"/>
          <w:sz w:val="32"/>
          <w:szCs w:val="32"/>
        </w:rPr>
      </w:pPr>
      <w:r>
        <w:rPr>
          <w:rFonts w:eastAsia="方正黑体_GBK"/>
          <w:sz w:val="32"/>
          <w:szCs w:val="32"/>
        </w:rPr>
        <w:t xml:space="preserve">第十八条  </w:t>
      </w:r>
      <w:r>
        <w:rPr>
          <w:rFonts w:eastAsia="方正仿宋_GBK"/>
          <w:sz w:val="32"/>
          <w:szCs w:val="32"/>
        </w:rPr>
        <w:t xml:space="preserve">任何单位及个人违反本办法规定的，擅自改变城市绿线内土地用途、占用或者破坏城市绿地的，由县县城市管理行政主管部门按照《中华人民共和国城乡规划法》《城市绿化条例》《城市绿线管理办法》《云南省城市绿化办法》等法律法规规定处罚；在城市绿地范围内拦河截溪、取土采石、设置垃圾堆场、排放污水或对城市生态环境造成破坏的，依照国家建设部《城市绿线管理办法》的规定，由县城市管理综合执法行政主管部门责令改正，并处一万元以上三万元以下的罚款。 </w:t>
      </w:r>
    </w:p>
    <w:p>
      <w:pPr>
        <w:spacing w:line="240" w:lineRule="auto"/>
        <w:ind w:firstLine="640"/>
        <w:rPr>
          <w:rFonts w:eastAsia="方正仿宋_GBK"/>
          <w:sz w:val="32"/>
          <w:szCs w:val="32"/>
        </w:rPr>
      </w:pPr>
      <w:r>
        <w:rPr>
          <w:rFonts w:eastAsia="方正黑体_GBK"/>
          <w:sz w:val="32"/>
          <w:szCs w:val="32"/>
        </w:rPr>
        <w:t xml:space="preserve">第十九条  </w:t>
      </w:r>
      <w:r>
        <w:rPr>
          <w:rFonts w:eastAsia="方正仿宋_GBK"/>
          <w:sz w:val="32"/>
          <w:szCs w:val="32"/>
        </w:rPr>
        <w:t>城市管理行政主管部门和有关管理部门责任人员违反本办法规定的，不依法履行职责的，由本级人民政府或者</w:t>
      </w:r>
      <w:r>
        <w:rPr>
          <w:rFonts w:hint="eastAsia" w:eastAsia="方正仿宋_GBK"/>
          <w:sz w:val="32"/>
          <w:szCs w:val="32"/>
        </w:rPr>
        <w:t>纪检监察机关</w:t>
      </w:r>
      <w:r>
        <w:rPr>
          <w:rFonts w:eastAsia="方正仿宋_GBK"/>
          <w:sz w:val="32"/>
          <w:szCs w:val="32"/>
        </w:rPr>
        <w:t>责令改正；造成损失的，依法承担赔偿责任；情节严重的，对主管人员和直接负责人员依法给予处分。城市管理行政主管部门和有关管理部门工作人员玩忽职守、滥用职权、徇私舞弊的，由有权机关依法给予处分；涉嫌犯罪的，移送司法机关依法追究责任。</w:t>
      </w:r>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第二十条</w:t>
      </w:r>
      <w:r>
        <w:rPr>
          <w:rFonts w:eastAsia="方正仿宋_GBK"/>
          <w:sz w:val="32"/>
          <w:szCs w:val="32"/>
        </w:rPr>
        <w:t xml:space="preserve">  本办法由砚山县住房和城乡建设局负责解释。</w:t>
      </w:r>
    </w:p>
    <w:p>
      <w:pPr>
        <w:pStyle w:val="10"/>
        <w:spacing w:before="0" w:after="0" w:line="240" w:lineRule="auto"/>
        <w:rPr>
          <w:rFonts w:ascii="Times New Roman" w:hAnsi="Times New Roman" w:eastAsia="方正黑体_GBK"/>
          <w:b w:val="0"/>
          <w:bCs w:val="0"/>
          <w:kern w:val="2"/>
        </w:rPr>
      </w:pPr>
      <w:bookmarkStart w:id="9" w:name="_Toc16865"/>
      <w:bookmarkStart w:id="10" w:name="_Toc62"/>
      <w:bookmarkStart w:id="11" w:name="_Toc20440"/>
    </w:p>
    <w:p>
      <w:pPr>
        <w:pStyle w:val="10"/>
        <w:spacing w:before="0" w:after="0" w:line="240" w:lineRule="auto"/>
        <w:rPr>
          <w:rFonts w:ascii="Times New Roman" w:hAnsi="Times New Roman" w:eastAsia="方正黑体_GBK"/>
          <w:b w:val="0"/>
          <w:bCs w:val="0"/>
          <w:kern w:val="2"/>
        </w:rPr>
      </w:pPr>
      <w:r>
        <w:rPr>
          <w:rFonts w:ascii="Times New Roman" w:hAnsi="Times New Roman" w:eastAsia="方正黑体_GBK"/>
          <w:b w:val="0"/>
          <w:bCs w:val="0"/>
          <w:kern w:val="2"/>
        </w:rPr>
        <w:t>第四章  绿线规划</w:t>
      </w:r>
      <w:bookmarkEnd w:id="9"/>
      <w:bookmarkEnd w:id="10"/>
      <w:bookmarkEnd w:id="11"/>
    </w:p>
    <w:p>
      <w:pPr>
        <w:spacing w:line="240" w:lineRule="auto"/>
        <w:rPr>
          <w:rFonts w:eastAsia="方正仿宋_GBK"/>
          <w:sz w:val="32"/>
          <w:szCs w:val="32"/>
        </w:rPr>
      </w:pPr>
      <w:r>
        <w:rPr>
          <w:rFonts w:eastAsia="方正仿宋_GBK"/>
          <w:sz w:val="32"/>
          <w:szCs w:val="32"/>
        </w:rPr>
        <w:t xml:space="preserve">    </w:t>
      </w:r>
      <w:r>
        <w:rPr>
          <w:rFonts w:eastAsia="方正黑体_GBK"/>
          <w:sz w:val="32"/>
          <w:szCs w:val="32"/>
        </w:rPr>
        <w:t xml:space="preserve">第二十一条  </w:t>
      </w:r>
      <w:r>
        <w:rPr>
          <w:rFonts w:eastAsia="方正仿宋_GBK"/>
          <w:sz w:val="32"/>
          <w:szCs w:val="32"/>
        </w:rPr>
        <w:t>砚山县绿线规定范围包含在《砚山县绿地系统规划》中，本办法公布之日起30日后实施。</w:t>
      </w:r>
    </w:p>
    <w:p>
      <w:pPr>
        <w:pStyle w:val="10"/>
        <w:spacing w:before="0" w:after="0" w:line="240" w:lineRule="auto"/>
        <w:rPr>
          <w:rFonts w:ascii="Times New Roman" w:hAnsi="Times New Roman" w:eastAsia="方正黑体_GBK"/>
          <w:b w:val="0"/>
          <w:bCs w:val="0"/>
          <w:kern w:val="2"/>
        </w:rPr>
      </w:pPr>
      <w:bookmarkStart w:id="12" w:name="_Toc17995"/>
      <w:bookmarkStart w:id="13" w:name="_Toc2992"/>
      <w:bookmarkStart w:id="14" w:name="_Toc13169"/>
    </w:p>
    <w:p>
      <w:pPr>
        <w:pStyle w:val="10"/>
        <w:spacing w:before="0" w:after="0" w:line="240" w:lineRule="auto"/>
        <w:rPr>
          <w:rFonts w:ascii="Times New Roman" w:hAnsi="Times New Roman" w:eastAsia="方正黑体_GBK"/>
          <w:b w:val="0"/>
          <w:bCs w:val="0"/>
          <w:kern w:val="2"/>
        </w:rPr>
      </w:pPr>
      <w:r>
        <w:rPr>
          <w:rFonts w:ascii="Times New Roman" w:hAnsi="Times New Roman" w:eastAsia="方正黑体_GBK"/>
          <w:b w:val="0"/>
          <w:bCs w:val="0"/>
          <w:kern w:val="2"/>
        </w:rPr>
        <w:t xml:space="preserve">第五章  </w:t>
      </w:r>
      <w:bookmarkEnd w:id="12"/>
      <w:bookmarkEnd w:id="13"/>
      <w:bookmarkEnd w:id="14"/>
      <w:r>
        <w:rPr>
          <w:rFonts w:hint="eastAsia" w:ascii="Times New Roman" w:hAnsi="Times New Roman" w:eastAsia="方正黑体_GBK"/>
          <w:b w:val="0"/>
          <w:bCs w:val="0"/>
          <w:kern w:val="2"/>
        </w:rPr>
        <w:t>其他</w:t>
      </w:r>
    </w:p>
    <w:p>
      <w:pPr>
        <w:spacing w:line="240" w:lineRule="auto"/>
        <w:ind w:firstLine="630"/>
        <w:rPr>
          <w:rFonts w:hint="eastAsia" w:ascii="微软雅黑" w:hAnsi="微软雅黑" w:eastAsia="微软雅黑" w:cs="微软雅黑"/>
          <w:i w:val="0"/>
          <w:caps w:val="0"/>
          <w:color w:val="auto"/>
          <w:spacing w:val="0"/>
          <w:sz w:val="24"/>
          <w:szCs w:val="24"/>
          <w:lang w:val="en-US" w:eastAsia="zh-CN"/>
        </w:rPr>
      </w:pPr>
      <w:r>
        <w:rPr>
          <w:rFonts w:eastAsia="方正黑体_GBK"/>
          <w:sz w:val="32"/>
          <w:szCs w:val="32"/>
        </w:rPr>
        <w:t xml:space="preserve">第二十二条  </w:t>
      </w:r>
      <w:r>
        <w:rPr>
          <w:rFonts w:eastAsia="方正仿宋_GBK"/>
          <w:sz w:val="32"/>
          <w:szCs w:val="32"/>
        </w:rPr>
        <w:t>城镇体系规划所确定的城市规划区外防护绿地、绿化隔离带等的绿线划定、监督和管理，参照本办法执行。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37845BA"/>
    <w:rsid w:val="049B55BE"/>
    <w:rsid w:val="04B679C3"/>
    <w:rsid w:val="07BA677A"/>
    <w:rsid w:val="080F63D8"/>
    <w:rsid w:val="09341458"/>
    <w:rsid w:val="0B0912D7"/>
    <w:rsid w:val="0E5F2FB6"/>
    <w:rsid w:val="11F22F23"/>
    <w:rsid w:val="152D2DCA"/>
    <w:rsid w:val="172D2CEA"/>
    <w:rsid w:val="17CC6A83"/>
    <w:rsid w:val="18697B91"/>
    <w:rsid w:val="1DD6078D"/>
    <w:rsid w:val="1DEC284C"/>
    <w:rsid w:val="1E6523AC"/>
    <w:rsid w:val="22162872"/>
    <w:rsid w:val="22440422"/>
    <w:rsid w:val="227772B6"/>
    <w:rsid w:val="22A551C9"/>
    <w:rsid w:val="236F7CD9"/>
    <w:rsid w:val="24301423"/>
    <w:rsid w:val="27034546"/>
    <w:rsid w:val="276F0932"/>
    <w:rsid w:val="31A15F24"/>
    <w:rsid w:val="328A6EE6"/>
    <w:rsid w:val="351C16E8"/>
    <w:rsid w:val="395347B5"/>
    <w:rsid w:val="39A232A0"/>
    <w:rsid w:val="39E745AA"/>
    <w:rsid w:val="3B5A6BBB"/>
    <w:rsid w:val="3BA567EF"/>
    <w:rsid w:val="3BD84C1D"/>
    <w:rsid w:val="3CEB587B"/>
    <w:rsid w:val="3EDA13A6"/>
    <w:rsid w:val="3FB62B8A"/>
    <w:rsid w:val="3FDC5A41"/>
    <w:rsid w:val="42F058B7"/>
    <w:rsid w:val="436109F6"/>
    <w:rsid w:val="441A38D4"/>
    <w:rsid w:val="47AF17EA"/>
    <w:rsid w:val="4BC77339"/>
    <w:rsid w:val="4C821940"/>
    <w:rsid w:val="4C9236C5"/>
    <w:rsid w:val="4CA81F8C"/>
    <w:rsid w:val="505C172E"/>
    <w:rsid w:val="50F32BB4"/>
    <w:rsid w:val="52F46F0B"/>
    <w:rsid w:val="53D8014D"/>
    <w:rsid w:val="54123212"/>
    <w:rsid w:val="55E064E0"/>
    <w:rsid w:val="572C6D10"/>
    <w:rsid w:val="573B1DEC"/>
    <w:rsid w:val="578B23D5"/>
    <w:rsid w:val="585E1AF6"/>
    <w:rsid w:val="5B39418D"/>
    <w:rsid w:val="5C0A4B08"/>
    <w:rsid w:val="5DC34279"/>
    <w:rsid w:val="608816D1"/>
    <w:rsid w:val="60EF4E7F"/>
    <w:rsid w:val="61392C63"/>
    <w:rsid w:val="61972AB8"/>
    <w:rsid w:val="62532F81"/>
    <w:rsid w:val="657B29E1"/>
    <w:rsid w:val="65EEE062"/>
    <w:rsid w:val="665233C1"/>
    <w:rsid w:val="6A5B439D"/>
    <w:rsid w:val="6ACF2C87"/>
    <w:rsid w:val="6AD9688B"/>
    <w:rsid w:val="6D0E3F22"/>
    <w:rsid w:val="6DA938EC"/>
    <w:rsid w:val="6E843218"/>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100" w:beforeAutospacing="1" w:after="100" w:afterAutospacing="1"/>
    </w:pPr>
    <w:rPr>
      <w:rFonts w:eastAsia="宋体"/>
      <w:sz w:val="24"/>
      <w:szCs w:val="24"/>
    </w:rPr>
  </w:style>
  <w:style w:type="character" w:styleId="15">
    <w:name w:val="Strong"/>
    <w:basedOn w:val="14"/>
    <w:qFormat/>
    <w:uiPriority w:val="0"/>
    <w:rPr>
      <w:b/>
    </w:rPr>
  </w:style>
  <w:style w:type="paragraph" w:customStyle="1" w:styleId="16">
    <w:name w:val="规章标题"/>
    <w:basedOn w:val="1"/>
    <w:next w:val="4"/>
    <w:qFormat/>
    <w:uiPriority w:val="0"/>
    <w:pPr>
      <w:jc w:val="center"/>
    </w:pPr>
    <w:rPr>
      <w:rFonts w:hint="eastAsia" w:ascii="Calibri" w:hAnsi="Calibri" w:cs="宋体"/>
      <w:sz w:val="44"/>
      <w:szCs w:val="44"/>
    </w:rPr>
  </w:style>
  <w:style w:type="paragraph" w:customStyle="1" w:styleId="17">
    <w:name w:val="规章批注"/>
    <w:basedOn w:val="1"/>
    <w:next w:val="4"/>
    <w:qFormat/>
    <w:uiPriority w:val="0"/>
    <w:pPr>
      <w:jc w:val="center"/>
    </w:pPr>
    <w:rPr>
      <w:rFonts w:hint="eastAsia" w:ascii="楷体" w:hAnsi="楷体" w:eastAsia="楷体" w:cs="楷体"/>
      <w:sz w:val="32"/>
      <w:szCs w:val="32"/>
    </w:rPr>
  </w:style>
  <w:style w:type="paragraph" w:customStyle="1" w:styleId="18">
    <w:name w:val="规章章节"/>
    <w:basedOn w:val="1"/>
    <w:next w:val="2"/>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2"/>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2821</Words>
  <Characters>2828</Characters>
  <Lines>1</Lines>
  <Paragraphs>1</Paragraphs>
  <TotalTime>1</TotalTime>
  <ScaleCrop>false</ScaleCrop>
  <LinksUpToDate>false</LinksUpToDate>
  <CharactersWithSpaces>2920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幻影骑士</cp:lastModifiedBy>
  <cp:lastPrinted>2022-11-08T07:20:00Z</cp:lastPrinted>
  <dcterms:modified xsi:type="dcterms:W3CDTF">2024-01-10T08:02:43Z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473991ED4E9649E9ADD37BDACAD57D9F</vt:lpwstr>
  </property>
</Properties>
</file>