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附件</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砚山县</w:t>
      </w:r>
      <w:r>
        <w:rPr>
          <w:rFonts w:hint="eastAsia" w:ascii="Times New Roman" w:hAnsi="Times New Roman" w:eastAsia="方正小标宋_GBK" w:cs="方正小标宋_GBK"/>
          <w:color w:val="000000" w:themeColor="text1"/>
          <w:sz w:val="44"/>
          <w:szCs w:val="44"/>
          <w14:textFill>
            <w14:solidFill>
              <w14:schemeClr w14:val="tx1"/>
            </w14:solidFill>
          </w14:textFill>
        </w:rPr>
        <w:t>乡村惠农组合保险主要内容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宣传和推广运用乡村惠农组合保险，是促进乡村振兴的重要措施。鼓励农村家庭参与惠农组合保险，提升家庭抵御自然灾害能力，缓解因灾返贫和因灾致贫的矛盾，保障家庭经济安全，推动乡村富裕稳定。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一、乡村惠农组合保险推广运用模式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乡村惠农组合保险以政府宣传引导、市场运作的模式实施。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县</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农业农村科学技术</w:t>
      </w:r>
      <w:r>
        <w:rPr>
          <w:rFonts w:hint="eastAsia" w:ascii="Times New Roman" w:hAnsi="Times New Roman" w:eastAsia="方正仿宋_GBK" w:cs="方正仿宋_GBK"/>
          <w:color w:val="000000" w:themeColor="text1"/>
          <w:sz w:val="32"/>
          <w:szCs w:val="32"/>
          <w14:textFill>
            <w14:solidFill>
              <w14:schemeClr w14:val="tx1"/>
            </w14:solidFill>
          </w14:textFill>
        </w:rPr>
        <w:t>局牵头实施，各</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乡</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镇</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、各部门</w:t>
      </w:r>
      <w:r>
        <w:rPr>
          <w:rFonts w:hint="eastAsia" w:ascii="Times New Roman" w:hAnsi="Times New Roman" w:eastAsia="方正仿宋_GBK" w:cs="方正仿宋_GBK"/>
          <w:color w:val="000000" w:themeColor="text1"/>
          <w:sz w:val="32"/>
          <w:szCs w:val="32"/>
          <w14:textFill>
            <w14:solidFill>
              <w14:schemeClr w14:val="tx1"/>
            </w14:solidFill>
          </w14:textFill>
        </w:rPr>
        <w:t>参与宣传</w:t>
      </w:r>
      <w:r>
        <w:rPr>
          <w:rFonts w:hint="eastAsia" w:ascii="Times New Roman" w:hAnsi="Times New Roman" w:eastAsia="方正仿宋_GBK" w:cs="方正仿宋_GBK"/>
          <w:color w:val="000000" w:themeColor="text1"/>
          <w:spacing w:val="-6"/>
          <w:sz w:val="32"/>
          <w:szCs w:val="32"/>
          <w14:textFill>
            <w14:solidFill>
              <w14:schemeClr w14:val="tx1"/>
            </w14:solidFill>
          </w14:textFill>
        </w:rPr>
        <w:t>推广；市场化运作，保险公司承保，开展保费收取和出险理赔工作。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二、乡村惠农组合保险产品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（一）保险险种：</w:t>
      </w:r>
      <w:r>
        <w:rPr>
          <w:rFonts w:hint="eastAsia" w:ascii="Times New Roman" w:hAnsi="Times New Roman" w:eastAsia="方正仿宋_GBK" w:cs="方正仿宋_GBK"/>
          <w:color w:val="000000" w:themeColor="text1"/>
          <w:sz w:val="32"/>
          <w:szCs w:val="32"/>
          <w14:textFill>
            <w14:solidFill>
              <w14:schemeClr w14:val="tx1"/>
            </w14:solidFill>
          </w14:textFill>
        </w:rPr>
        <w:t>乡村惠农组合保险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（二）保险期限：</w:t>
      </w:r>
      <w:r>
        <w:rPr>
          <w:rFonts w:hint="eastAsia" w:ascii="Times New Roman" w:hAnsi="Times New Roman" w:eastAsia="方正仿宋_GBK" w:cs="方正仿宋_GBK"/>
          <w:color w:val="000000" w:themeColor="text1"/>
          <w:sz w:val="32"/>
          <w:szCs w:val="32"/>
          <w14:textFill>
            <w14:solidFill>
              <w14:schemeClr w14:val="tx1"/>
            </w14:solidFill>
          </w14:textFill>
        </w:rPr>
        <w:t>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（三）承保单位：</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Times New Roman" w:hAnsi="Times New Roman" w:eastAsia="方正仿宋_GBK" w:cs="方正仿宋_GBK"/>
          <w:color w:val="000000" w:themeColor="text1"/>
          <w:w w:val="95"/>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w w:val="95"/>
          <w:sz w:val="32"/>
          <w:szCs w:val="32"/>
          <w:lang w:val="en-US" w:eastAsia="zh-CN"/>
          <w14:textFill>
            <w14:solidFill>
              <w14:schemeClr w14:val="tx1"/>
            </w14:solidFill>
          </w14:textFill>
        </w:rPr>
        <w:t>中国人民财产保险股份有限公司砚山支公司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t>天安财产保险股份有限公司文山中心支公司砚山营销服务部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中国大地财产保险股份有限公司砚山支公司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中国平安财险保险股份有限公司砚山支公司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t>中国太平洋财产保险股份有限公司砚山支公司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诚泰保险股份有限公司砚山支公司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华安财产保险股份有限公司砚山支公司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阳光财产保险股份有限公司砚山支公司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中国人寿财险保险股份有限公司砚山支公司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（四）被保险人：</w:t>
      </w:r>
      <w:r>
        <w:rPr>
          <w:rFonts w:hint="eastAsia" w:ascii="Times New Roman" w:hAnsi="Times New Roman" w:eastAsia="方正仿宋_GBK" w:cs="方正仿宋_GBK"/>
          <w:color w:val="000000" w:themeColor="text1"/>
          <w:sz w:val="32"/>
          <w:szCs w:val="32"/>
          <w14:textFill>
            <w14:solidFill>
              <w14:schemeClr w14:val="tx1"/>
            </w14:solidFill>
          </w14:textFill>
        </w:rPr>
        <w:t>原则上以家庭户作为参保人。身体健康、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能正常生产生活的农村家庭成员均可作为被保险人。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（五）自主自愿：</w:t>
      </w:r>
      <w:r>
        <w:rPr>
          <w:rFonts w:hint="eastAsia" w:ascii="Times New Roman" w:hAnsi="Times New Roman" w:eastAsia="方正仿宋_GBK" w:cs="方正仿宋_GBK"/>
          <w:color w:val="000000" w:themeColor="text1"/>
          <w:sz w:val="32"/>
          <w:szCs w:val="32"/>
          <w14:textFill>
            <w14:solidFill>
              <w14:schemeClr w14:val="tx1"/>
            </w14:solidFill>
          </w14:textFill>
        </w:rPr>
        <w:t>农村家庭在充分了解参保保险产品、保险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保费和赔偿金额等保险条款的基础上，自行参与，自愿购买。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（六）乡村惠农组合保险费用及保额：</w:t>
      </w:r>
    </w:p>
    <w:tbl>
      <w:tblPr>
        <w:tblStyle w:val="5"/>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2255"/>
        <w:gridCol w:w="2262"/>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乡村惠农组合保险产品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保险项目</w:t>
            </w: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保障内容</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保额（元）/户</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保费（元）/户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家庭财产损失</w:t>
            </w: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房屋主体</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4</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000.00</w:t>
            </w:r>
          </w:p>
        </w:tc>
        <w:tc>
          <w:tcPr>
            <w:tcW w:w="22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家庭附属重要财产设施</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10000.00</w:t>
            </w:r>
          </w:p>
        </w:tc>
        <w:tc>
          <w:tcPr>
            <w:tcW w:w="22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意外伤害</w:t>
            </w: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意外身故、残疾</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100000.00</w:t>
            </w:r>
          </w:p>
        </w:tc>
        <w:tc>
          <w:tcPr>
            <w:tcW w:w="22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意外伤害医疗</w:t>
            </w: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意外医疗费用补偿</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10000.00</w:t>
            </w:r>
          </w:p>
        </w:tc>
        <w:tc>
          <w:tcPr>
            <w:tcW w:w="22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vertAlign w:val="baseline"/>
                <w:lang w:eastAsia="zh-CN"/>
                <w14:textFill>
                  <w14:solidFill>
                    <w14:schemeClr w14:val="tx1"/>
                  </w14:solidFill>
                </w14:textFill>
              </w:rPr>
              <w:t>意外伤害住院津贴</w:t>
            </w: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住院津贴</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方正仿宋_GBK"/>
                <w:color w:val="000000" w:themeColor="text1"/>
                <w:sz w:val="32"/>
                <w:szCs w:val="32"/>
                <w:vertAlign w:val="baseli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vertAlign w:val="baseline"/>
                <w:lang w:val="en-US" w:eastAsia="zh-CN"/>
                <w14:textFill>
                  <w14:solidFill>
                    <w14:schemeClr w14:val="tx1"/>
                  </w14:solidFill>
                </w14:textFill>
              </w:rPr>
              <w:t>9000.00</w:t>
            </w:r>
          </w:p>
        </w:tc>
        <w:tc>
          <w:tcPr>
            <w:tcW w:w="22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14:textFill>
                  <w14:solidFill>
                    <w14:schemeClr w14:val="tx1"/>
                  </w14:solidFill>
                </w14:textFill>
              </w:rPr>
            </w:pPr>
          </w:p>
        </w:tc>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color w:val="000000" w:themeColor="text1"/>
                <w:sz w:val="32"/>
                <w:szCs w:val="32"/>
                <w:vertAlign w:val="baseline"/>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vertAlign w:val="baseline"/>
                <w:lang w:eastAsia="zh-CN"/>
                <w14:textFill>
                  <w14:solidFill>
                    <w14:schemeClr w14:val="tx1"/>
                  </w14:solidFill>
                </w14:textFill>
              </w:rPr>
              <w:t>合计</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方正仿宋_GBK"/>
                <w:color w:val="000000" w:themeColor="text1"/>
                <w:sz w:val="32"/>
                <w:szCs w:val="32"/>
                <w:vertAlign w:val="baseli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vertAlign w:val="baseline"/>
                <w:lang w:val="en-US" w:eastAsia="zh-CN"/>
                <w14:textFill>
                  <w14:solidFill>
                    <w14:schemeClr w14:val="tx1"/>
                  </w14:solidFill>
                </w14:textFill>
              </w:rPr>
              <w:t>169000.00</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方正仿宋_GBK"/>
                <w:color w:val="000000" w:themeColor="text1"/>
                <w:sz w:val="32"/>
                <w:szCs w:val="32"/>
                <w:vertAlign w:val="baseli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vertAlign w:val="baseline"/>
                <w:lang w:val="en-US" w:eastAsia="zh-CN"/>
                <w14:textFill>
                  <w14:solidFill>
                    <w14:schemeClr w14:val="tx1"/>
                  </w14:solidFill>
                </w14:textFill>
              </w:rPr>
              <w:t>100.00</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1.保险保费：</w:t>
      </w:r>
      <w:r>
        <w:rPr>
          <w:rFonts w:hint="eastAsia" w:ascii="Times New Roman" w:hAnsi="Times New Roman" w:eastAsia="方正仿宋_GBK" w:cs="方正仿宋_GBK"/>
          <w:color w:val="000000" w:themeColor="text1"/>
          <w:sz w:val="32"/>
          <w:szCs w:val="32"/>
          <w14:textFill>
            <w14:solidFill>
              <w14:schemeClr w14:val="tx1"/>
            </w14:solidFill>
          </w14:textFill>
        </w:rPr>
        <w:t>以户为单位参保，原则上按户口册收取保费，在保险合同中明确户主和家庭成员身份证号等信息，以户口册进行固定，每户100.00元/年。每户限投保一份，多投无效。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2.保险金额：</w:t>
      </w:r>
      <w:r>
        <w:rPr>
          <w:rFonts w:hint="eastAsia" w:ascii="Times New Roman" w:hAnsi="Times New Roman" w:eastAsia="方正仿宋_GBK" w:cs="方正仿宋_GBK"/>
          <w:color w:val="000000" w:themeColor="text1"/>
          <w:sz w:val="32"/>
          <w:szCs w:val="32"/>
          <w14:textFill>
            <w14:solidFill>
              <w14:schemeClr w14:val="tx1"/>
            </w14:solidFill>
          </w14:textFill>
        </w:rPr>
        <w:t>每户保险金额169000.00元。①房屋综合保险每户50000</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00元，其中房屋主体保额40000.00元，家庭附属重要财产保额10000.00元。②人身意外伤害保险全家共享保额100000.00元；意外医疗费用补偿全家共享保额10000.00元；意外伤害住院补助每人每天50.00元，最高累计赔付180天，全家共享保额9000.00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bCs/>
          <w:color w:val="000000" w:themeColor="text1"/>
          <w:sz w:val="32"/>
          <w:szCs w:val="32"/>
          <w14:textFill>
            <w14:solidFill>
              <w14:schemeClr w14:val="tx1"/>
            </w14:solidFill>
          </w14:textFill>
        </w:rPr>
        <w:t>3.保险责任：</w:t>
      </w:r>
      <w:r>
        <w:rPr>
          <w:rFonts w:hint="eastAsia" w:ascii="Times New Roman" w:hAnsi="Times New Roman" w:eastAsia="方正仿宋_GBK" w:cs="方正仿宋_GBK"/>
          <w:color w:val="000000" w:themeColor="text1"/>
          <w:sz w:val="32"/>
          <w:szCs w:val="32"/>
          <w14:textFill>
            <w14:solidFill>
              <w14:schemeClr w14:val="tx1"/>
            </w14:solidFill>
          </w14:textFill>
        </w:rPr>
        <w:t>①家庭财产损失：火灾、爆炸；雷击、龙卷风、暴风、暴雨、洪水、暴雪、冰雹、冰凌、泥石流、崩塌、突发性滑坡、地面坍塌；飞行物体及其他空中运行物体坠落，外来不属于被保险人所有或使用的建筑物和其他固定物体的倒塌。</w:t>
      </w:r>
      <w:r>
        <w:rPr>
          <w:rFonts w:hint="eastAsia" w:ascii="Times New Roman" w:hAnsi="Times New Roman" w:eastAsia="方正仿宋_GBK" w:cs="方正仿宋_GBK"/>
          <w:color w:val="auto"/>
          <w:sz w:val="32"/>
          <w:szCs w:val="32"/>
        </w:rPr>
        <w:t>前款原因造成的保险事故发生时，为抢救保险标的或防止灾害蔓延，采取必要的、合理的措施而造成保险标的的损失。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auto"/>
          <w:sz w:val="32"/>
          <w:szCs w:val="32"/>
        </w:rPr>
        <w:t>②意外伤害：是指外来的、突发的、非本意的、非疾病的客观事件致使身体受到的伤害。在保险期内，被保险人遭受意外伤</w:t>
      </w:r>
      <w:r>
        <w:rPr>
          <w:rFonts w:hint="eastAsia" w:ascii="Times New Roman" w:hAnsi="Times New Roman" w:eastAsia="方正仿宋_GBK" w:cs="方正仿宋_GBK"/>
          <w:color w:val="000000" w:themeColor="text1"/>
          <w:sz w:val="32"/>
          <w:szCs w:val="32"/>
          <w14:textFill>
            <w14:solidFill>
              <w14:schemeClr w14:val="tx1"/>
            </w14:solidFill>
          </w14:textFill>
        </w:rPr>
        <w:t>害，并因该意外伤害导致身故、伤残的，承保人依照约定给付保险金，且给付各项保险金之和不超过被保险人的意外身故伤残保险金额。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③意外伤害医疗：在保险期内，被保险人遭受意外伤害，并因该意外伤害在医疗机构（医疗机构指国内二级及以上医院或承保人认可的医疗机构，拥有合法经营执业医疗机构）进行住院治疗，承保人按约定给付医疗保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④意外伤害住院补助：在保险期内，被保险人遭受意外伤害，并因该意外伤害在指定医疗机构接受住院治疗的，根据实际住院天数，保险公司每天给予50.00元住院保险金补助。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三、理赔服务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（一）赔付范围及金额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1.家庭财产损失：</w:t>
      </w:r>
      <w:r>
        <w:rPr>
          <w:rFonts w:hint="eastAsia" w:ascii="Times New Roman" w:hAnsi="Times New Roman" w:eastAsia="方正仿宋_GBK" w:cs="方正仿宋_GBK"/>
          <w:color w:val="000000" w:themeColor="text1"/>
          <w:sz w:val="32"/>
          <w:szCs w:val="32"/>
          <w14:textFill>
            <w14:solidFill>
              <w14:schemeClr w14:val="tx1"/>
            </w14:solidFill>
          </w14:textFill>
        </w:rPr>
        <w:t>每户50000.00元，其中房屋主体保额40000.00元，家庭附属重要财产保额10000.00 元。家庭附属重要财产指固定装置的水暖、气暖、卫生、供水、管道煤气及供电设备等；室内装潢；室内财产，包括家用电器，安装在房屋外的空调器、太阳能热水器等家用电器的室外设备，文体娱乐用品；衣物和床上用品；家具及其他生活用具；厨房及其配套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2.意外伤害身故、残疾：</w:t>
      </w:r>
      <w:r>
        <w:rPr>
          <w:rFonts w:hint="eastAsia" w:ascii="Times New Roman" w:hAnsi="Times New Roman" w:eastAsia="方正仿宋_GBK" w:cs="方正仿宋_GBK"/>
          <w:color w:val="000000" w:themeColor="text1"/>
          <w:sz w:val="32"/>
          <w:szCs w:val="32"/>
          <w14:textFill>
            <w14:solidFill>
              <w14:schemeClr w14:val="tx1"/>
            </w14:solidFill>
          </w14:textFill>
        </w:rPr>
        <w:t>全家共享保额100000.00元，如赔付金额达到100000.00元，该户意外伤害保险责任终止。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3.意外伤害医疗：</w:t>
      </w:r>
      <w:r>
        <w:rPr>
          <w:rFonts w:hint="eastAsia" w:ascii="Times New Roman" w:hAnsi="Times New Roman" w:eastAsia="方正仿宋_GBK" w:cs="方正仿宋_GBK"/>
          <w:color w:val="000000" w:themeColor="text1"/>
          <w:sz w:val="32"/>
          <w:szCs w:val="32"/>
          <w14:textFill>
            <w14:solidFill>
              <w14:schemeClr w14:val="tx1"/>
            </w14:solidFill>
          </w14:textFill>
        </w:rPr>
        <w:t>全家共享保额10000.00 元。意外医疗费用每人每次事故免赔额 100.00 元，给付比例 90%。每次事故门诊、急诊限额500.00元，给付比例80%。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4.意外伤害住院补助：</w:t>
      </w:r>
      <w:r>
        <w:rPr>
          <w:rFonts w:hint="eastAsia" w:ascii="Times New Roman" w:hAnsi="Times New Roman" w:eastAsia="方正仿宋_GBK" w:cs="方正仿宋_GBK"/>
          <w:color w:val="000000" w:themeColor="text1"/>
          <w:sz w:val="32"/>
          <w:szCs w:val="32"/>
          <w14:textFill>
            <w14:solidFill>
              <w14:schemeClr w14:val="tx1"/>
            </w14:solidFill>
          </w14:textFill>
        </w:rPr>
        <w:t>全家共享保额，每人每天50.00元，每户累计180天，赔付金额 9000.00 元，每次事故免赔3天。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bCs/>
          <w:color w:val="000000" w:themeColor="text1"/>
          <w:sz w:val="32"/>
          <w:szCs w:val="32"/>
          <w14:textFill>
            <w14:solidFill>
              <w14:schemeClr w14:val="tx1"/>
            </w14:solidFill>
          </w14:textFill>
        </w:rPr>
        <w:t>5.共享保额指家庭所有成员共同均分的保险金额</w:t>
      </w:r>
      <w:r>
        <w:rPr>
          <w:rFonts w:hint="eastAsia" w:ascii="Times New Roman" w:hAnsi="Times New Roman"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（二）报案理赔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按照保险承保公司提供的联系电话和联系人进行报案。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1.拨打承保公司 24 小时全天客户服务电话报案。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2.向承保公司专职服务人员报案。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3.向协保员报案，并由协保员对接承保公司报案。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四、合同签订和解释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（一）签订合同。</w:t>
      </w:r>
      <w:r>
        <w:rPr>
          <w:rFonts w:hint="eastAsia" w:ascii="Times New Roman" w:hAnsi="Times New Roman" w:eastAsia="方正仿宋_GBK" w:cs="方正仿宋_GBK"/>
          <w:color w:val="000000" w:themeColor="text1"/>
          <w:sz w:val="32"/>
          <w:szCs w:val="32"/>
          <w14:textFill>
            <w14:solidFill>
              <w14:schemeClr w14:val="tx1"/>
            </w14:solidFill>
          </w14:textFill>
        </w:rPr>
        <w:t>各承保公司根据本产品方案制定《乡村惠农组合保险》合同书，明确参保保费和赔偿金额，明确参保及理赔操作流程，明确双方权利义务等，合同自双方签订之日起生效。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（二）合同解释。</w:t>
      </w:r>
      <w:r>
        <w:rPr>
          <w:rFonts w:hint="eastAsia" w:ascii="Times New Roman" w:hAnsi="Times New Roman" w:eastAsia="方正仿宋_GBK" w:cs="方正仿宋_GBK"/>
          <w:color w:val="000000" w:themeColor="text1"/>
          <w:sz w:val="32"/>
          <w:szCs w:val="32"/>
          <w14:textFill>
            <w14:solidFill>
              <w14:schemeClr w14:val="tx1"/>
            </w14:solidFill>
          </w14:textFill>
        </w:rPr>
        <w:t>《乡村惠农组合保险》合同的解释权归保</w:t>
      </w:r>
      <w:r>
        <w:rPr>
          <w:rFonts w:hint="eastAsia" w:ascii="Times New Roman" w:hAnsi="Times New Roman" w:eastAsia="方正仿宋_GBK" w:cs="方正仿宋_GBK"/>
          <w:color w:val="000000" w:themeColor="text1"/>
          <w:spacing w:val="-6"/>
          <w:sz w:val="32"/>
          <w:szCs w:val="32"/>
          <w14:textFill>
            <w14:solidFill>
              <w14:schemeClr w14:val="tx1"/>
            </w14:solidFill>
          </w14:textFill>
        </w:rPr>
        <w:t>险承保公司，由文山银保监分局和文山州保险行业协会负责监管。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eastAsia="zh-CN"/>
          <w14:textFill>
            <w14:solidFill>
              <w14:schemeClr w14:val="tx1"/>
            </w14:solidFill>
          </w14:textFill>
        </w:rPr>
        <w:t>附件</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t>砚山县2023年乡村惠农组合保险推动方案</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根据《文山州财政局 文山州农业农村局 文山州民政局 文山州应急管理局关于推广运用乡村惠农组合保险赔偿自然灾害损失的通知》（文财投资〔2023〕25号）文件要求，结合砚山县实际情况形成如下推动方案：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t>一、推广意义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帮助农村家庭应对自然灾害和人身意外伤害带来的风险，提升农村家庭抵御自然灾害的能力，缓解因灾返贫和因灾致贫的突出矛盾，</w:t>
      </w:r>
      <w:r>
        <w:rPr>
          <w:rFonts w:hint="eastAsia" w:ascii="Times New Roman" w:hAnsi="Times New Roman" w:eastAsia="方正仿宋_GBK" w:cs="方正仿宋_GBK"/>
          <w:color w:val="000000" w:themeColor="text1"/>
          <w:sz w:val="32"/>
          <w:szCs w:val="32"/>
          <w14:textFill>
            <w14:solidFill>
              <w14:schemeClr w14:val="tx1"/>
            </w14:solidFill>
          </w14:textFill>
        </w:rPr>
        <w:t>是促进乡村振兴的重要措施</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t>二、区域划分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1.参与公司：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中国人民财产保险股份有限公司砚山支公司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eastAsia" w:ascii="Times New Roman" w:hAnsi="Times New Roman" w:eastAsia="方正仿宋_GBK" w:cs="方正仿宋_GBK"/>
          <w:color w:val="000000" w:themeColor="text1"/>
          <w:w w:val="95"/>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w w:val="95"/>
          <w:sz w:val="32"/>
          <w:szCs w:val="32"/>
          <w:lang w:val="en-US" w:eastAsia="zh-CN"/>
          <w14:textFill>
            <w14:solidFill>
              <w14:schemeClr w14:val="tx1"/>
            </w14:solidFill>
          </w14:textFill>
        </w:rPr>
        <w:t>天安财产保险股份有限公司文山中心支公司砚山营销服务部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中国大地财产保险股份有限公司砚山支公司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中国平安财险保险股份有限公司砚山支公司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t>中国太平洋财产保险股份有限公司砚山支公司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诚泰保险股份有限公司砚山支公司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华安财产保险股份有限公司砚山支公司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阳光财产保险股份有限公司砚山支公司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宋体" w:cs="宋体"/>
          <w:i w:val="0"/>
          <w:color w:val="000000"/>
          <w:kern w:val="0"/>
          <w:sz w:val="22"/>
          <w:szCs w:val="22"/>
          <w:u w:val="none"/>
          <w:lang w:val="en-US" w:eastAsia="zh-CN" w:bidi="ar"/>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中国人寿财险保险股份有限公司砚山支公司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9"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bCs/>
          <w:color w:val="000000" w:themeColor="text1"/>
          <w:spacing w:val="-6"/>
          <w:sz w:val="32"/>
          <w:szCs w:val="32"/>
          <w:lang w:val="en-US" w:eastAsia="zh-CN"/>
          <w14:textFill>
            <w14:solidFill>
              <w14:schemeClr w14:val="tx1"/>
            </w14:solidFill>
          </w14:textFill>
        </w:rPr>
        <w:t>2.承保方式：</w:t>
      </w:r>
      <w:r>
        <w:rPr>
          <w:rFonts w:hint="eastAsia" w:ascii="Times New Roman" w:hAnsi="Times New Roman" w:eastAsia="方正仿宋_GBK" w:cs="方正仿宋_GBK"/>
          <w:b w:val="0"/>
          <w:bCs w:val="0"/>
          <w:color w:val="000000" w:themeColor="text1"/>
          <w:spacing w:val="-6"/>
          <w:sz w:val="32"/>
          <w:szCs w:val="32"/>
          <w:lang w:val="en-US" w:eastAsia="zh-CN"/>
          <w14:textFill>
            <w14:solidFill>
              <w14:schemeClr w14:val="tx1"/>
            </w14:solidFill>
          </w14:textFill>
        </w:rPr>
        <w:t>化片区形式承保，即分乡镇、分村社区进行服务。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t>三、宣传和推广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各公司根据所服务的片区及时与各乡镇及村社区对接，开展宣传活动，如举办保险知识讲座、发放宣传册等，向广大村民普及乡村惠农组合保险的知识和优势。承保公司对宣传和推广的乡镇、村委会给予适当的工作经费补助，补助金额为保费收入总额的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t>四、实施计划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z w:val="32"/>
          <w:szCs w:val="32"/>
          <w:lang w:val="en-US" w:eastAsia="zh-CN"/>
          <w14:textFill>
            <w14:solidFill>
              <w14:schemeClr w14:val="tx1"/>
            </w14:solidFill>
          </w14:textFill>
        </w:rPr>
        <w:t>（一）启动时间：</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2023年11月25日。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z w:val="32"/>
          <w:szCs w:val="32"/>
          <w:lang w:val="en-US" w:eastAsia="zh-CN"/>
          <w14:textFill>
            <w14:solidFill>
              <w14:schemeClr w14:val="tx1"/>
            </w14:solidFill>
          </w14:textFill>
        </w:rPr>
        <w:t>（二）投保时间：</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2023年11月25日至2024年11月25日。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其中集中投保时间为2023年11月25日至2024年2月29日，由各乡镇和村社区配合保险公司进行宣传推广投保；其他时间段村民可自行联系所负责的保险公司进行投保。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z w:val="32"/>
          <w:szCs w:val="32"/>
          <w:lang w:val="en-US" w:eastAsia="zh-CN"/>
          <w14:textFill>
            <w14:solidFill>
              <w14:schemeClr w14:val="tx1"/>
            </w14:solidFill>
          </w14:textFill>
        </w:rPr>
        <w:t>（三）保险期间：</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1年期，自收取保费5日内生效，以实际保单为准。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t>五、目标计划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各公司要扛牢压实责任担当，靶向发力，精准掌握参保底数，建立动态台账，确保在2024年2月29日前完成户数覆盖率5%。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2"/>
          <w:szCs w:val="32"/>
          <w:lang w:val="en-US" w:eastAsia="zh-CN"/>
          <w14:textFill>
            <w14:solidFill>
              <w14:schemeClr w14:val="tx1"/>
            </w14:solidFill>
          </w14:textFill>
        </w:rPr>
        <w:t>六、承保理赔服务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根据片区划分情况，各公司到所负责区域进行宣传，自行对所负责区域进行承保服务，理赔实行谁承保谁服务原则。</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t>2023年砚山县“乡村惠农组合保险”区域</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44"/>
          <w:lang w:val="en-US" w:eastAsia="zh-CN"/>
          <w14:textFill>
            <w14:solidFill>
              <w14:schemeClr w14:val="tx1"/>
            </w14:solidFill>
          </w14:textFill>
        </w:rPr>
        <w:t>划分表</w:t>
      </w:r>
    </w:p>
    <w:tbl>
      <w:tblPr>
        <w:tblStyle w:val="4"/>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1113"/>
        <w:gridCol w:w="1300"/>
        <w:gridCol w:w="2042"/>
        <w:gridCol w:w="307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16"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序号</w:t>
            </w:r>
          </w:p>
        </w:tc>
        <w:tc>
          <w:tcPr>
            <w:tcW w:w="1113"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乡镇名称</w:t>
            </w:r>
          </w:p>
        </w:tc>
        <w:tc>
          <w:tcPr>
            <w:tcW w:w="1300"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参保渗透率</w:t>
            </w:r>
          </w:p>
        </w:tc>
        <w:tc>
          <w:tcPr>
            <w:tcW w:w="2042"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themeColor="text1"/>
                <w:sz w:val="32"/>
                <w:szCs w:val="32"/>
                <w:u w:val="none"/>
                <w:lang w:val="en-US"/>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社区、村委</w:t>
            </w:r>
            <w:r>
              <w:rPr>
                <w:rFonts w:hint="eastAsia"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会</w:t>
            </w:r>
          </w:p>
        </w:tc>
        <w:tc>
          <w:tcPr>
            <w:tcW w:w="307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负责公司</w:t>
            </w:r>
          </w:p>
        </w:tc>
        <w:tc>
          <w:tcPr>
            <w:tcW w:w="73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32"/>
                <w:szCs w:val="3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1</w:t>
            </w: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江那镇</w:t>
            </w: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锦山社区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书院社区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子马社区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羊街社区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同心社区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舍木那村委会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听湖村委会</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bookmarkStart w:id="0" w:name="_GoBack"/>
            <w:bookmarkEnd w:id="0"/>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中国平安财险保险股份有限公司砚山支公司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嘉禾社区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郊址社区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三七社区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路德村委会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铳卡村委会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芦柴冲村委会</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太平洋财险砚山支公司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2</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阿猛镇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中国人民财产保险股份有限公司砚山支公司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3</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维摩乡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天安财产保险股份有限公司文山中心支公司砚山营销服务部</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4</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蚌峨乡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中国大地财产保险股份有限公司砚山支公司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八嘎乡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诚泰保险股份有限公司砚山支公司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6</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盘龙乡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华安财产保险股份有限公司砚山支公司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7</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者腊乡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阳光财产保险股份有限公司砚山支公司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8</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干河乡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所有村社区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中国人寿财险保险股份有限公司砚山支公司</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bl>
    <w:p>
      <w:pPr>
        <w:rPr>
          <w:rFonts w:ascii="Times New Roman" w:hAnsi="Times New Roma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50344F1C"/>
    <w:rsid w:val="0A127B35"/>
    <w:rsid w:val="0F764A4E"/>
    <w:rsid w:val="16621F6C"/>
    <w:rsid w:val="1AA843C9"/>
    <w:rsid w:val="27772FD6"/>
    <w:rsid w:val="29967401"/>
    <w:rsid w:val="2A0D3999"/>
    <w:rsid w:val="2AC8171B"/>
    <w:rsid w:val="37263677"/>
    <w:rsid w:val="39141D84"/>
    <w:rsid w:val="40E906B9"/>
    <w:rsid w:val="43703B06"/>
    <w:rsid w:val="47723AF4"/>
    <w:rsid w:val="4CCE3CA6"/>
    <w:rsid w:val="50344F1C"/>
    <w:rsid w:val="503772D8"/>
    <w:rsid w:val="52850907"/>
    <w:rsid w:val="58DF5E83"/>
    <w:rsid w:val="5A6F3464"/>
    <w:rsid w:val="5D1321A4"/>
    <w:rsid w:val="6CF575C8"/>
    <w:rsid w:val="729E7739"/>
    <w:rsid w:val="7C83233C"/>
    <w:rsid w:val="7D2C5CA0"/>
    <w:rsid w:val="7F32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2023-11-22T00:53:00Z</dcterms:created>
  <dc:creator>YYX</dc:creator>
  <cp:lastModifiedBy>杨道能</cp:lastModifiedBy>
  <cp:lastPrinted>2023-11-22T00:55:00Z</cp:lastPrinted>
  <dcterms:modified xsi:type="dcterms:W3CDTF">2023-12-26T02:06:00Z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D44D26D30DBF405F89F51BD60E72CF42</vt:lpwstr>
  </property>
</Properties>
</file>