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人民政府办公室政府信息主动公开基本目录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文秘股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政府及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办公室领导姓名、职务、分工等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公室职能职责。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办公室内设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股、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局、中心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政府和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政府办公室行政规范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性文件，现行规范性文件目录、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已废止和修改的规范性文件目录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办文法规股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府办公室文件类型为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砚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政发、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政办发、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政任和其他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办文法规股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府公报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政府信息与政务公开股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政府信息与政务公开股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文秘股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视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政府热线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人事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人事信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人事任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公告，招考、遴选通知，录用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人事教育股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砚山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文秘股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工作报告全文。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综合股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06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报纸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信息公开查阅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两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会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、政府常务会议和其他会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议情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政务信息网络管理中心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报纸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政预算报告，办公室预算及“三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行政管理股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政决算报告，办公室决算及“三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行政管理股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督查室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政府信息与政务公开股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政府信息与政务公开股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政府信息与政务公开股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31" w:lineRule="auto"/>
              <w:ind w:left="18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position w:val="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position w:val="12"/>
                <w:sz w:val="21"/>
                <w:szCs w:val="21"/>
              </w:rPr>
              <w:t>府网站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网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站基本信息、信息发布量、专栏专题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数、解读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回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应、办事服务、互动交流、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安全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防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护、移动新媒体、创新发展等情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况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开条例》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711号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于印发政府网站发展指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引的通知》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国办发〔2017〕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47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12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于做好政府网站年度报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表发布工作的通知》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函〔2018〕12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政务信息网络管理中心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年1月31日前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15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2024-04-07T00:39:51Z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