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eastAsia="方正小标宋_GBK"/>
          <w:bCs/>
          <w:color w:val="000000"/>
          <w:sz w:val="44"/>
          <w:szCs w:val="44"/>
        </w:rPr>
      </w:pPr>
      <w:r>
        <w:rPr>
          <w:rFonts w:hAnsi="方正小标宋_GBK" w:eastAsia="方正小标宋_GBK"/>
          <w:bCs/>
          <w:color w:val="000000"/>
          <w:sz w:val="44"/>
          <w:szCs w:val="44"/>
        </w:rPr>
        <w:t>砚山县</w:t>
      </w:r>
      <w:r>
        <w:rPr>
          <w:rFonts w:eastAsia="方正小标宋_GBK"/>
          <w:bCs/>
          <w:color w:val="000000"/>
          <w:sz w:val="44"/>
          <w:szCs w:val="44"/>
        </w:rPr>
        <w:t>2021</w:t>
      </w:r>
      <w:r>
        <w:rPr>
          <w:rFonts w:hAnsi="方正小标宋_GBK" w:eastAsia="方正小标宋_GBK"/>
          <w:bCs/>
          <w:color w:val="000000"/>
          <w:sz w:val="44"/>
          <w:szCs w:val="44"/>
        </w:rPr>
        <w:t>年度国有建设用地供应计划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line="560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为科学调控土地市场，合理配置土地资源，积极发挥计划引导作用，促进土地节约集约利用，优化国有建设用地供应结构和空间布局，切实保障我县各项建设用地供应，促进经济社会持续健康发展，根据国土资源部《国有建设用地供应计划编制规范（试行）》（国土资发〔2010〕117号）要求，结合我县《土地利用总体规划》《土地利用年度计划》，参考上年度供地情况和</w:t>
      </w:r>
      <w:bookmarkStart w:id="0" w:name="_GoBack"/>
      <w:bookmarkEnd w:id="0"/>
      <w:r>
        <w:rPr>
          <w:rFonts w:eastAsia="方正仿宋_GBK"/>
          <w:color w:val="000000"/>
          <w:sz w:val="32"/>
          <w:szCs w:val="32"/>
        </w:rPr>
        <w:t>本年度用地需求，制定本计划。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方正黑体_GBK"/>
          <w:bCs/>
          <w:color w:val="000000"/>
          <w:sz w:val="32"/>
          <w:szCs w:val="32"/>
        </w:rPr>
      </w:pPr>
      <w:r>
        <w:rPr>
          <w:rFonts w:eastAsia="方正黑体_GBK"/>
          <w:bCs/>
          <w:color w:val="000000"/>
          <w:sz w:val="32"/>
          <w:szCs w:val="32"/>
        </w:rPr>
        <w:t>指导思想和基本原则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以习近平新时代中国特色社会主义思想为统领，</w:t>
      </w:r>
      <w:r>
        <w:rPr>
          <w:rFonts w:eastAsia="方正仿宋_GBK"/>
          <w:color w:val="000000"/>
          <w:kern w:val="0"/>
          <w:sz w:val="32"/>
          <w:szCs w:val="32"/>
          <w:shd w:val="clear" w:color="auto" w:fill="FFFFFF"/>
        </w:rPr>
        <w:t>认真落实国家对土地资源管理工作的新要求，</w:t>
      </w:r>
      <w:r>
        <w:rPr>
          <w:rFonts w:eastAsia="方正仿宋_GBK"/>
          <w:color w:val="3D3D3D"/>
          <w:sz w:val="32"/>
          <w:szCs w:val="32"/>
        </w:rPr>
        <w:t>通过科学供地，</w:t>
      </w:r>
      <w:r>
        <w:rPr>
          <w:rFonts w:eastAsia="方正仿宋_GBK"/>
          <w:color w:val="000000"/>
          <w:sz w:val="32"/>
          <w:szCs w:val="32"/>
        </w:rPr>
        <w:t>合理配置建设用地，促进经济结构调整和经济增长方式转变，全力保障全县人口资源环境协调发展。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严格控制新增建设用地，积极盘活存量建设用地，提高土地节约集约利用水平，合理控制建设用地总量；全面提高土地供应的科学性、规范性、合理性，强化土地资源节约意识，统筹安排各项建设用地项目，为建设资源节约型、环境友好型社会提供技术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  <w:shd w:val="clear" w:color="auto" w:fill="FFFFFF"/>
        </w:rPr>
        <w:t>优化土地供应结构，优先保证重点建设项目用地供给，遵循经济社会发展规律，科学供应土地，</w:t>
      </w:r>
      <w:r>
        <w:rPr>
          <w:rFonts w:eastAsia="方正仿宋_GBK"/>
          <w:color w:val="000000"/>
          <w:sz w:val="32"/>
          <w:szCs w:val="32"/>
        </w:rPr>
        <w:t>为全县经济社会又好又快发展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作出更大贡献</w:t>
      </w:r>
      <w:r>
        <w:rPr>
          <w:rFonts w:eastAsia="方正仿宋_GBK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方正黑体_GBK"/>
          <w:bCs/>
          <w:color w:val="000000"/>
          <w:sz w:val="32"/>
          <w:szCs w:val="32"/>
        </w:rPr>
      </w:pPr>
      <w:r>
        <w:rPr>
          <w:rFonts w:eastAsia="方正黑体_GBK"/>
          <w:bCs/>
          <w:color w:val="000000"/>
          <w:sz w:val="32"/>
          <w:szCs w:val="32"/>
        </w:rPr>
        <w:t>二、供应计划指标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方正楷体_GBK"/>
          <w:bCs/>
          <w:color w:val="000000"/>
          <w:sz w:val="32"/>
          <w:szCs w:val="32"/>
        </w:rPr>
      </w:pPr>
      <w:r>
        <w:rPr>
          <w:rFonts w:eastAsia="方正楷体_GBK"/>
          <w:bCs/>
          <w:color w:val="000000"/>
          <w:sz w:val="32"/>
          <w:szCs w:val="32"/>
        </w:rPr>
        <w:t>（一）国有建设用地供应总量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2021年，我县国有建设用地供应总量控制在89.2069公顷以内。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方正楷体_GBK"/>
          <w:bCs/>
          <w:color w:val="000000"/>
          <w:sz w:val="32"/>
          <w:szCs w:val="32"/>
        </w:rPr>
      </w:pPr>
      <w:r>
        <w:rPr>
          <w:rFonts w:eastAsia="方正楷体_GBK"/>
          <w:bCs/>
          <w:color w:val="000000"/>
          <w:sz w:val="32"/>
          <w:szCs w:val="32"/>
        </w:rPr>
        <w:t>（二）国有建设用地供应结构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2021年度我县国有建设用地供应总量中，商服用地2.0530公顷，工矿仓储用地28.0436公顷，住宅用地45.9925公顷，公共管理与公共服务用地13.1178公顷。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方正黑体_GBK"/>
          <w:bCs/>
          <w:color w:val="000000"/>
          <w:sz w:val="32"/>
          <w:szCs w:val="32"/>
        </w:rPr>
      </w:pPr>
      <w:r>
        <w:rPr>
          <w:rFonts w:eastAsia="方正黑体_GBK"/>
          <w:bCs/>
          <w:color w:val="000000"/>
          <w:sz w:val="32"/>
          <w:szCs w:val="32"/>
        </w:rPr>
        <w:t>三、政策导向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方正楷体_GBK"/>
          <w:bCs/>
          <w:color w:val="000000"/>
          <w:sz w:val="32"/>
          <w:szCs w:val="32"/>
        </w:rPr>
      </w:pPr>
      <w:r>
        <w:rPr>
          <w:rFonts w:eastAsia="方正楷体_GBK"/>
          <w:bCs/>
          <w:color w:val="000000"/>
          <w:sz w:val="32"/>
          <w:szCs w:val="32"/>
        </w:rPr>
        <w:t>（一）优化空间布局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</w:rPr>
        <w:t>坚持</w:t>
      </w:r>
      <w:r>
        <w:rPr>
          <w:rFonts w:eastAsia="方正仿宋_GBK"/>
          <w:color w:val="000000"/>
          <w:kern w:val="0"/>
          <w:sz w:val="32"/>
          <w:szCs w:val="32"/>
          <w:shd w:val="clear" w:color="auto" w:fill="FFFFFF"/>
        </w:rPr>
        <w:t>计划控制引导，统一有序、规范供应。本年度各类建设项目用地供应，必须严格按照《砚山县2021年度国有建设用地供应计划表》确定的控制指标实施。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方正楷体_GBK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eastAsia="方正楷体_GBK"/>
          <w:bCs/>
          <w:color w:val="000000"/>
          <w:kern w:val="0"/>
          <w:sz w:val="32"/>
          <w:szCs w:val="32"/>
          <w:shd w:val="clear" w:color="auto" w:fill="FFFFFF"/>
        </w:rPr>
        <w:t>（二）优化土地供应结构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方正仿宋_GBK"/>
          <w:color w:val="262626"/>
          <w:sz w:val="32"/>
          <w:szCs w:val="32"/>
          <w:shd w:val="clear" w:color="auto" w:fill="FFFFFF"/>
        </w:rPr>
      </w:pPr>
      <w:r>
        <w:rPr>
          <w:rFonts w:eastAsia="方正仿宋_GBK"/>
          <w:color w:val="000000"/>
          <w:kern w:val="0"/>
          <w:sz w:val="32"/>
          <w:szCs w:val="32"/>
          <w:shd w:val="clear" w:color="auto" w:fill="FFFFFF"/>
        </w:rPr>
        <w:t>为加快</w:t>
      </w:r>
      <w:r>
        <w:rPr>
          <w:rFonts w:eastAsia="方正仿宋_GBK"/>
          <w:sz w:val="32"/>
          <w:szCs w:val="32"/>
        </w:rPr>
        <w:t>我县城北片区开发和推动云南绿色</w:t>
      </w:r>
      <w:r>
        <w:rPr>
          <w:rFonts w:eastAsia="方正仿宋_GBK"/>
          <w:color w:val="000000"/>
          <w:sz w:val="32"/>
          <w:szCs w:val="32"/>
        </w:rPr>
        <w:t>铝创新产业园铝材一体化产业发展，2021年继续加大了住宅用地和工业用地供应量：其中住宅用地45.9925公顷，</w:t>
      </w:r>
      <w:r>
        <w:rPr>
          <w:rFonts w:eastAsia="方正仿宋_GBK"/>
          <w:color w:val="262626"/>
          <w:sz w:val="32"/>
          <w:szCs w:val="32"/>
          <w:shd w:val="clear" w:color="auto" w:fill="FFFFFF"/>
        </w:rPr>
        <w:t>占供应总量的58.41%；工业用地28.0436公顷，占供应总量的35.61%。乡镇建设项目用地计划指标按照实际需要机动安排。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方正楷体_GBK"/>
          <w:bCs/>
          <w:color w:val="262626"/>
          <w:sz w:val="32"/>
          <w:szCs w:val="32"/>
          <w:shd w:val="clear" w:color="auto" w:fill="FFFFFF"/>
        </w:rPr>
      </w:pPr>
      <w:r>
        <w:rPr>
          <w:rFonts w:eastAsia="方正楷体_GBK"/>
          <w:bCs/>
          <w:color w:val="262626"/>
          <w:sz w:val="32"/>
          <w:szCs w:val="32"/>
          <w:shd w:val="clear" w:color="auto" w:fill="FFFFFF"/>
        </w:rPr>
        <w:t>（三）促进土地节约集约利用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1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262626"/>
          <w:sz w:val="32"/>
          <w:szCs w:val="32"/>
          <w:shd w:val="clear" w:color="auto" w:fill="FFFFFF"/>
        </w:rPr>
        <w:t>严格</w:t>
      </w:r>
      <w:r>
        <w:rPr>
          <w:rFonts w:eastAsia="方正仿宋_GBK"/>
          <w:color w:val="000000"/>
          <w:sz w:val="32"/>
          <w:szCs w:val="32"/>
        </w:rPr>
        <w:t>执行国家产业政策和供地政策，促进产业用地的节约集约利用，提高产业用地的利用效益。完善并严格执行产业用地的用地标准和相关控制性标准，切实控制新增建设用地规模，保守耕地红线，促进土地资源有效利用和可持续开发利用。实施年度供地计划应坚持努力盘活利用现有存量土地，加强土地批后监管，严格查处违法违规和闲置用地，</w:t>
      </w:r>
      <w:r>
        <w:rPr>
          <w:rFonts w:eastAsia="方正仿宋_GBK"/>
          <w:color w:val="000000"/>
          <w:kern w:val="0"/>
          <w:sz w:val="32"/>
          <w:szCs w:val="32"/>
        </w:rPr>
        <w:t>扩大国有土地有偿使用范围，</w:t>
      </w:r>
      <w:r>
        <w:rPr>
          <w:rFonts w:eastAsia="方正仿宋_GBK"/>
          <w:color w:val="000000"/>
          <w:sz w:val="32"/>
          <w:szCs w:val="32"/>
        </w:rPr>
        <w:t>促进各类建设项目节约集约利用土地资源，提高各类用地的社会、经济和环境综合效益。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方正楷体_GBK"/>
          <w:bCs/>
          <w:color w:val="000000"/>
          <w:sz w:val="32"/>
          <w:szCs w:val="32"/>
        </w:rPr>
      </w:pPr>
      <w:r>
        <w:rPr>
          <w:rFonts w:eastAsia="方正楷体_GBK"/>
          <w:bCs/>
          <w:color w:val="000000"/>
          <w:sz w:val="32"/>
          <w:szCs w:val="32"/>
        </w:rPr>
        <w:t>（四）发挥市场配置资源基础性作用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除国家《划拨用地目录》外的土地，一律以出让等有偿方式供地，工业、商业、旅游、娱乐、商品住宅等经营性用地，或者</w:t>
      </w:r>
      <w:r>
        <w:rPr>
          <w:rFonts w:eastAsia="方正仿宋_GBK"/>
          <w:color w:val="000000"/>
          <w:kern w:val="0"/>
          <w:sz w:val="32"/>
          <w:szCs w:val="32"/>
          <w:shd w:val="clear" w:color="auto" w:fill="FFFFFF"/>
        </w:rPr>
        <w:t>同一宗地有两个以上意向用地者的，必须以招标、拍卖或者挂牌方式出让，其中，商品住宅用地，一律以拍卖方式公开出让，鼓励公共服务项目用地有偿使用，</w:t>
      </w:r>
      <w:r>
        <w:rPr>
          <w:rFonts w:eastAsia="方正仿宋_GBK"/>
          <w:color w:val="000000"/>
          <w:kern w:val="0"/>
          <w:sz w:val="32"/>
          <w:szCs w:val="32"/>
        </w:rPr>
        <w:t>扩大国有土地有偿使用范围，</w:t>
      </w:r>
      <w:r>
        <w:rPr>
          <w:rFonts w:eastAsia="方正仿宋_GBK"/>
          <w:color w:val="000000"/>
          <w:sz w:val="32"/>
          <w:szCs w:val="32"/>
        </w:rPr>
        <w:t>充分发挥市场在土地资源配置中的基础性作用，营造企业满意、社会肯定的投资环境。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强化市场管理，严把投资准入门槛，及时更新城镇基准地价，发挥地价对土地市场的调控作用，有效利用经济杠杆将有限的土地资源配置到最需要的行业和部门，以达到土地节约集约与高效利用的目的。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方正黑体_GBK"/>
          <w:bCs/>
          <w:color w:val="3D3D3D"/>
          <w:sz w:val="32"/>
          <w:szCs w:val="32"/>
        </w:rPr>
      </w:pPr>
      <w:r>
        <w:rPr>
          <w:rFonts w:eastAsia="方正黑体_GBK"/>
          <w:bCs/>
          <w:color w:val="3D3D3D"/>
          <w:sz w:val="32"/>
          <w:szCs w:val="32"/>
        </w:rPr>
        <w:t>四、保障措施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方正楷体_GBK"/>
          <w:bCs/>
          <w:color w:val="3D3D3D"/>
          <w:sz w:val="32"/>
          <w:szCs w:val="32"/>
        </w:rPr>
      </w:pPr>
      <w:r>
        <w:rPr>
          <w:rFonts w:eastAsia="方正楷体_GBK"/>
          <w:bCs/>
          <w:color w:val="3D3D3D"/>
          <w:sz w:val="32"/>
          <w:szCs w:val="32"/>
        </w:rPr>
        <w:t>（一）强化配合，形成合力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方正仿宋_GBK"/>
          <w:color w:val="262626"/>
          <w:sz w:val="32"/>
          <w:szCs w:val="32"/>
          <w:shd w:val="clear" w:color="auto" w:fill="FFFFFF"/>
        </w:rPr>
      </w:pPr>
      <w:r>
        <w:rPr>
          <w:rFonts w:eastAsia="方正仿宋_GBK"/>
          <w:color w:val="3D3D3D"/>
          <w:sz w:val="32"/>
          <w:szCs w:val="32"/>
        </w:rPr>
        <w:t>县自然资源局、</w:t>
      </w:r>
      <w:r>
        <w:rPr>
          <w:rFonts w:eastAsia="方正仿宋_GBK"/>
          <w:color w:val="262626"/>
          <w:sz w:val="32"/>
          <w:szCs w:val="32"/>
          <w:shd w:val="clear" w:color="auto" w:fill="FFFFFF"/>
        </w:rPr>
        <w:t>发展改革局、工信商务局、财政局、工业园区管理委员会等相关部门要密切配合，加强沟通协调，共同组织做好建设项目用地各项前期准备工作，各乡（镇）人民政府、有关单位也要充分发挥职能优势，积极配合做好计划实施工作，定期解决计划实施过程存在的问题，共同推动年度土地供应计划顺利实施。有关部门对项目办理土地供应涉及相关手续应予以充分支持，以保障年度土地供应计划的顺利完成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方正楷体_GBK"/>
          <w:bCs/>
          <w:color w:val="262626"/>
          <w:sz w:val="32"/>
          <w:szCs w:val="32"/>
          <w:shd w:val="clear" w:color="auto" w:fill="FFFFFF"/>
        </w:rPr>
      </w:pPr>
      <w:r>
        <w:rPr>
          <w:rFonts w:eastAsia="方正楷体_GBK"/>
          <w:bCs/>
          <w:color w:val="262626"/>
          <w:sz w:val="32"/>
          <w:szCs w:val="32"/>
          <w:shd w:val="clear" w:color="auto" w:fill="FFFFFF"/>
        </w:rPr>
        <w:t>强化措施，确保供地服务效率质量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方正仿宋_GBK"/>
          <w:b/>
          <w:bCs/>
          <w:color w:val="262626"/>
          <w:sz w:val="32"/>
          <w:szCs w:val="32"/>
          <w:shd w:val="clear" w:color="auto" w:fill="FFFFFF"/>
        </w:rPr>
      </w:pPr>
      <w:r>
        <w:rPr>
          <w:rFonts w:eastAsia="方正仿宋_GBK"/>
          <w:color w:val="262626"/>
          <w:sz w:val="32"/>
          <w:szCs w:val="32"/>
          <w:shd w:val="clear" w:color="auto" w:fill="FFFFFF"/>
        </w:rPr>
        <w:t>计划实施中</w:t>
      </w:r>
      <w:r>
        <w:rPr>
          <w:rFonts w:eastAsia="方正仿宋_GBK"/>
          <w:b/>
          <w:bCs/>
          <w:color w:val="262626"/>
          <w:sz w:val="32"/>
          <w:szCs w:val="32"/>
          <w:shd w:val="clear" w:color="auto" w:fill="FFFFFF"/>
        </w:rPr>
        <w:t>，</w:t>
      </w:r>
      <w:r>
        <w:rPr>
          <w:rFonts w:eastAsia="方正仿宋_GBK"/>
          <w:color w:val="000000"/>
          <w:sz w:val="32"/>
          <w:szCs w:val="32"/>
        </w:rPr>
        <w:t>要把握全面，突出重点，强化服务，保障供应，对年度重点大项目用地要“一事一议”、跟踪服务，全程保障，切实满足项目建设用地需求，</w:t>
      </w:r>
      <w:r>
        <w:rPr>
          <w:rFonts w:eastAsia="方正仿宋_GBK"/>
          <w:sz w:val="32"/>
          <w:szCs w:val="32"/>
        </w:rPr>
        <w:t>各乡（镇）人民政府要加快土地征收和拆迁补偿力度，为具体项目供地和建设创造条件。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附件：1.砚山县2021年度国有建设用地供应计划汇总表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600" w:firstLineChars="5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2.砚山县2021年度国有建设用地供应具体宗地明细表</w:t>
      </w:r>
    </w:p>
    <w:p>
      <w:pPr>
        <w:keepNext w:val="0"/>
        <w:keepLines w:val="0"/>
        <w:pageBreakBefore w:val="0"/>
        <w:widowControl w:val="0"/>
        <w:tabs>
          <w:tab w:val="left" w:pos="402"/>
          <w:tab w:val="left" w:pos="603"/>
          <w:tab w:val="left" w:pos="804"/>
          <w:tab w:val="left" w:pos="7437"/>
          <w:tab w:val="left" w:pos="7638"/>
          <w:tab w:val="left" w:pos="7839"/>
          <w:tab w:val="left" w:pos="804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方正黑体_GBK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02"/>
          <w:tab w:val="left" w:pos="603"/>
          <w:tab w:val="left" w:pos="804"/>
          <w:tab w:val="left" w:pos="7437"/>
          <w:tab w:val="left" w:pos="7638"/>
          <w:tab w:val="left" w:pos="7839"/>
          <w:tab w:val="left" w:pos="804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方正黑体_GBK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02"/>
          <w:tab w:val="left" w:pos="603"/>
          <w:tab w:val="left" w:pos="804"/>
          <w:tab w:val="left" w:pos="7437"/>
          <w:tab w:val="left" w:pos="7638"/>
          <w:tab w:val="left" w:pos="7839"/>
          <w:tab w:val="left" w:pos="804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方正黑体_GBK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02"/>
          <w:tab w:val="left" w:pos="603"/>
          <w:tab w:val="left" w:pos="804"/>
          <w:tab w:val="left" w:pos="7437"/>
          <w:tab w:val="left" w:pos="7638"/>
          <w:tab w:val="left" w:pos="7839"/>
          <w:tab w:val="left" w:pos="804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方正黑体_GBK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3"/>
          <w:tab w:val="left" w:pos="7437"/>
          <w:tab w:val="left" w:pos="7839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方正黑体_GBK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02"/>
          <w:tab w:val="left" w:pos="603"/>
          <w:tab w:val="left" w:pos="804"/>
          <w:tab w:val="left" w:pos="7437"/>
          <w:tab w:val="left" w:pos="7638"/>
          <w:tab w:val="left" w:pos="7839"/>
          <w:tab w:val="left" w:pos="804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02"/>
          <w:tab w:val="left" w:pos="603"/>
          <w:tab w:val="left" w:pos="804"/>
          <w:tab w:val="left" w:pos="7437"/>
          <w:tab w:val="left" w:pos="7638"/>
          <w:tab w:val="left" w:pos="7839"/>
          <w:tab w:val="left" w:pos="804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02"/>
          <w:tab w:val="left" w:pos="603"/>
          <w:tab w:val="left" w:pos="804"/>
          <w:tab w:val="left" w:pos="7437"/>
          <w:tab w:val="left" w:pos="7638"/>
          <w:tab w:val="left" w:pos="7839"/>
          <w:tab w:val="left" w:pos="804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02"/>
          <w:tab w:val="left" w:pos="603"/>
          <w:tab w:val="left" w:pos="804"/>
          <w:tab w:val="left" w:pos="7437"/>
          <w:tab w:val="left" w:pos="7638"/>
          <w:tab w:val="left" w:pos="7839"/>
          <w:tab w:val="left" w:pos="804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02"/>
          <w:tab w:val="left" w:pos="603"/>
          <w:tab w:val="left" w:pos="804"/>
          <w:tab w:val="left" w:pos="7437"/>
          <w:tab w:val="left" w:pos="7638"/>
          <w:tab w:val="left" w:pos="7839"/>
          <w:tab w:val="left" w:pos="804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02"/>
          <w:tab w:val="left" w:pos="603"/>
          <w:tab w:val="left" w:pos="804"/>
          <w:tab w:val="left" w:pos="7437"/>
          <w:tab w:val="left" w:pos="7638"/>
          <w:tab w:val="left" w:pos="7839"/>
          <w:tab w:val="left" w:pos="804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02"/>
          <w:tab w:val="left" w:pos="603"/>
          <w:tab w:val="left" w:pos="804"/>
          <w:tab w:val="left" w:pos="7437"/>
          <w:tab w:val="left" w:pos="7638"/>
          <w:tab w:val="left" w:pos="7839"/>
          <w:tab w:val="left" w:pos="804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02"/>
          <w:tab w:val="left" w:pos="603"/>
          <w:tab w:val="left" w:pos="804"/>
          <w:tab w:val="left" w:pos="7437"/>
          <w:tab w:val="left" w:pos="7638"/>
          <w:tab w:val="left" w:pos="7839"/>
          <w:tab w:val="left" w:pos="804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02"/>
          <w:tab w:val="left" w:pos="603"/>
          <w:tab w:val="left" w:pos="804"/>
          <w:tab w:val="left" w:pos="7437"/>
          <w:tab w:val="left" w:pos="7638"/>
          <w:tab w:val="left" w:pos="7839"/>
          <w:tab w:val="left" w:pos="804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02"/>
          <w:tab w:val="left" w:pos="603"/>
          <w:tab w:val="left" w:pos="804"/>
          <w:tab w:val="left" w:pos="7437"/>
          <w:tab w:val="left" w:pos="7638"/>
          <w:tab w:val="left" w:pos="7839"/>
          <w:tab w:val="left" w:pos="804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02"/>
          <w:tab w:val="left" w:pos="603"/>
          <w:tab w:val="left" w:pos="804"/>
          <w:tab w:val="left" w:pos="7437"/>
          <w:tab w:val="left" w:pos="7638"/>
          <w:tab w:val="left" w:pos="7839"/>
          <w:tab w:val="left" w:pos="804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02"/>
          <w:tab w:val="left" w:pos="603"/>
          <w:tab w:val="left" w:pos="804"/>
          <w:tab w:val="left" w:pos="7437"/>
          <w:tab w:val="left" w:pos="7638"/>
          <w:tab w:val="left" w:pos="7839"/>
          <w:tab w:val="left" w:pos="804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402"/>
          <w:tab w:val="left" w:pos="603"/>
          <w:tab w:val="left" w:pos="804"/>
          <w:tab w:val="left" w:pos="7437"/>
          <w:tab w:val="left" w:pos="7638"/>
          <w:tab w:val="left" w:pos="7839"/>
          <w:tab w:val="left" w:pos="804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方正黑体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eastAsia="方正小标宋_GBK"/>
          <w:color w:val="000000"/>
          <w:sz w:val="32"/>
          <w:szCs w:val="32"/>
        </w:rPr>
      </w:pPr>
      <w:r>
        <w:rPr>
          <w:rFonts w:hAnsi="方正小标宋_GBK" w:eastAsia="方正小标宋_GBK"/>
          <w:color w:val="000000"/>
          <w:sz w:val="44"/>
          <w:szCs w:val="44"/>
        </w:rPr>
        <w:t>砚山县</w:t>
      </w:r>
      <w:r>
        <w:rPr>
          <w:rFonts w:eastAsia="方正小标宋_GBK"/>
          <w:color w:val="000000"/>
          <w:sz w:val="44"/>
          <w:szCs w:val="44"/>
        </w:rPr>
        <w:t>2021</w:t>
      </w:r>
      <w:r>
        <w:rPr>
          <w:rFonts w:hAnsi="方正小标宋_GBK" w:eastAsia="方正小标宋_GBK"/>
          <w:color w:val="000000"/>
          <w:sz w:val="44"/>
          <w:szCs w:val="44"/>
        </w:rPr>
        <w:t>年度国有建设用地供应计划汇总表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7661" w:leftChars="3648" w:firstLine="4800" w:firstLineChars="15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Ansi="方正仿宋_GBK" w:eastAsia="方正仿宋_GBK"/>
          <w:color w:val="000000"/>
          <w:sz w:val="32"/>
          <w:szCs w:val="32"/>
        </w:rPr>
        <w:t>单</w:t>
      </w:r>
      <w:r>
        <w:rPr>
          <w:rFonts w:hAnsi="方正楷体_GBK" w:eastAsia="方正楷体_GBK"/>
          <w:color w:val="000000"/>
          <w:sz w:val="32"/>
          <w:szCs w:val="32"/>
        </w:rPr>
        <w:t>单位：公顷</w:t>
      </w:r>
    </w:p>
    <w:tbl>
      <w:tblPr>
        <w:tblStyle w:val="5"/>
        <w:tblW w:w="10172" w:type="dxa"/>
        <w:tblInd w:w="-7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744"/>
        <w:gridCol w:w="1514"/>
        <w:gridCol w:w="1244"/>
        <w:gridCol w:w="2177"/>
        <w:gridCol w:w="1555"/>
        <w:gridCol w:w="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eastAsia="方正黑体_GBK"/>
                <w:sz w:val="32"/>
                <w:szCs w:val="32"/>
              </w:rPr>
            </w:pPr>
            <w:r>
              <w:rPr>
                <w:rFonts w:hAnsi="方正黑体_GBK" w:eastAsia="方正黑体_GBK"/>
                <w:sz w:val="32"/>
                <w:szCs w:val="32"/>
              </w:rPr>
              <w:t>区（县）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黑体_GBK"/>
                <w:sz w:val="32"/>
                <w:szCs w:val="32"/>
              </w:rPr>
            </w:pPr>
            <w:r>
              <w:rPr>
                <w:rFonts w:hAnsi="方正黑体_GBK" w:eastAsia="方正黑体_GBK"/>
                <w:sz w:val="32"/>
                <w:szCs w:val="32"/>
              </w:rPr>
              <w:t>合计</w:t>
            </w:r>
          </w:p>
        </w:tc>
        <w:tc>
          <w:tcPr>
            <w:tcW w:w="71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黑体_GBK"/>
                <w:sz w:val="32"/>
                <w:szCs w:val="32"/>
              </w:rPr>
            </w:pPr>
            <w:r>
              <w:rPr>
                <w:rFonts w:hAnsi="方正黑体_GBK" w:eastAsia="方正黑体_GBK"/>
                <w:sz w:val="32"/>
                <w:szCs w:val="32"/>
              </w:rPr>
              <w:t>具体分类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7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黑体_GBK"/>
                <w:sz w:val="32"/>
                <w:szCs w:val="32"/>
              </w:rPr>
            </w:pPr>
            <w:r>
              <w:rPr>
                <w:rFonts w:hAnsi="方正黑体_GBK" w:eastAsia="方正黑体_GBK"/>
                <w:sz w:val="32"/>
                <w:szCs w:val="32"/>
              </w:rPr>
              <w:t>商服用地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黑体_GBK"/>
                <w:sz w:val="32"/>
                <w:szCs w:val="32"/>
              </w:rPr>
            </w:pPr>
            <w:r>
              <w:rPr>
                <w:rFonts w:hAnsi="方正黑体_GBK" w:eastAsia="方正黑体_GBK"/>
                <w:sz w:val="32"/>
                <w:szCs w:val="32"/>
              </w:rPr>
              <w:t>工矿仓储用地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黑体_GBK"/>
                <w:sz w:val="32"/>
                <w:szCs w:val="32"/>
              </w:rPr>
            </w:pPr>
            <w:r>
              <w:rPr>
                <w:rFonts w:hAnsi="方正黑体_GBK" w:eastAsia="方正黑体_GBK"/>
                <w:sz w:val="32"/>
                <w:szCs w:val="32"/>
              </w:rPr>
              <w:t>公共管理与公共服务用地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黑体_GBK"/>
                <w:sz w:val="32"/>
                <w:szCs w:val="32"/>
              </w:rPr>
            </w:pPr>
            <w:r>
              <w:rPr>
                <w:rFonts w:hAnsi="方正黑体_GBK" w:eastAsia="方正黑体_GBK"/>
                <w:sz w:val="32"/>
                <w:szCs w:val="32"/>
              </w:rPr>
              <w:t>住宅用地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黑体_GBK"/>
                <w:sz w:val="32"/>
                <w:szCs w:val="32"/>
              </w:rPr>
            </w:pPr>
            <w:r>
              <w:rPr>
                <w:rFonts w:hAnsi="方正黑体_GBK" w:eastAsia="方正黑体_GBK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砚山县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89.2069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2.0530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28.0436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13.1178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45.9925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方正仿宋_GBK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402"/>
          <w:tab w:val="left" w:pos="603"/>
          <w:tab w:val="left" w:pos="804"/>
          <w:tab w:val="left" w:pos="7437"/>
          <w:tab w:val="left" w:pos="7638"/>
          <w:tab w:val="left" w:pos="7839"/>
          <w:tab w:val="left" w:pos="804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402"/>
          <w:tab w:val="left" w:pos="603"/>
          <w:tab w:val="left" w:pos="804"/>
          <w:tab w:val="left" w:pos="7437"/>
          <w:tab w:val="left" w:pos="7638"/>
          <w:tab w:val="left" w:pos="7839"/>
          <w:tab w:val="left" w:pos="804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方正黑体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420" w:leftChars="200" w:firstLine="880" w:firstLineChars="200"/>
        <w:jc w:val="center"/>
        <w:textAlignment w:val="auto"/>
        <w:rPr>
          <w:rFonts w:eastAsia="方正小标宋_GBK"/>
          <w:color w:val="000000"/>
          <w:sz w:val="44"/>
          <w:szCs w:val="44"/>
        </w:rPr>
      </w:pPr>
      <w:r>
        <w:rPr>
          <w:rFonts w:hAnsi="方正小标宋_GBK" w:eastAsia="方正小标宋_GBK"/>
          <w:color w:val="000000"/>
          <w:sz w:val="44"/>
          <w:szCs w:val="44"/>
        </w:rPr>
        <w:t>砚山县</w:t>
      </w:r>
      <w:r>
        <w:rPr>
          <w:rFonts w:eastAsia="方正小标宋_GBK"/>
          <w:color w:val="000000"/>
          <w:sz w:val="44"/>
          <w:szCs w:val="44"/>
        </w:rPr>
        <w:t>2021</w:t>
      </w:r>
      <w:r>
        <w:rPr>
          <w:rFonts w:hAnsi="方正小标宋_GBK" w:eastAsia="方正小标宋_GBK"/>
          <w:color w:val="000000"/>
          <w:sz w:val="44"/>
          <w:szCs w:val="44"/>
        </w:rPr>
        <w:t>年度国有建设用地供应具体宗地明细表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420" w:leftChars="200" w:firstLine="42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仿宋_GB2312"/>
          <w:color w:val="000000"/>
          <w:szCs w:val="32"/>
        </w:rPr>
        <w:t xml:space="preserve">                                                                                                  </w:t>
      </w:r>
      <w:r>
        <w:rPr>
          <w:rFonts w:hAnsi="方正楷体_GBK" w:eastAsia="方正楷体_GBK"/>
          <w:color w:val="000000"/>
          <w:sz w:val="32"/>
          <w:szCs w:val="32"/>
        </w:rPr>
        <w:t>单位：公顷</w:t>
      </w:r>
    </w:p>
    <w:tbl>
      <w:tblPr>
        <w:tblStyle w:val="5"/>
        <w:tblW w:w="15098" w:type="dxa"/>
        <w:tblInd w:w="-7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397"/>
        <w:gridCol w:w="4443"/>
        <w:gridCol w:w="1155"/>
        <w:gridCol w:w="2790"/>
        <w:gridCol w:w="912"/>
        <w:gridCol w:w="1548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黑体_GBK"/>
                <w:bCs/>
                <w:sz w:val="32"/>
                <w:szCs w:val="32"/>
              </w:rPr>
            </w:pPr>
            <w:r>
              <w:rPr>
                <w:rFonts w:hAnsi="方正黑体_GBK" w:eastAsia="方正黑体_GBK"/>
                <w:bCs/>
                <w:sz w:val="32"/>
                <w:szCs w:val="32"/>
              </w:rPr>
              <w:t>序号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黑体_GBK"/>
                <w:bCs/>
                <w:sz w:val="32"/>
                <w:szCs w:val="32"/>
              </w:rPr>
            </w:pPr>
            <w:r>
              <w:rPr>
                <w:rFonts w:hAnsi="方正黑体_GBK" w:eastAsia="方正黑体_GBK"/>
                <w:bCs/>
                <w:sz w:val="32"/>
                <w:szCs w:val="32"/>
              </w:rPr>
              <w:t>宗地编号或拟供地项目名称</w:t>
            </w: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黑体_GBK"/>
                <w:bCs/>
                <w:sz w:val="32"/>
                <w:szCs w:val="32"/>
              </w:rPr>
            </w:pPr>
            <w:r>
              <w:rPr>
                <w:rFonts w:hAnsi="方正黑体_GBK" w:eastAsia="方正黑体_GBK"/>
                <w:bCs/>
                <w:sz w:val="32"/>
                <w:szCs w:val="32"/>
              </w:rPr>
              <w:t>宗地位置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黑体_GBK"/>
                <w:bCs/>
                <w:sz w:val="32"/>
                <w:szCs w:val="32"/>
              </w:rPr>
            </w:pPr>
            <w:r>
              <w:rPr>
                <w:rFonts w:hAnsi="方正黑体_GBK" w:eastAsia="方正黑体_GBK"/>
                <w:bCs/>
                <w:sz w:val="32"/>
                <w:szCs w:val="32"/>
              </w:rPr>
              <w:t>宗</w:t>
            </w:r>
            <w:r>
              <w:rPr>
                <w:rFonts w:eastAsia="方正黑体_GBK"/>
                <w:bCs/>
                <w:sz w:val="32"/>
                <w:szCs w:val="32"/>
              </w:rPr>
              <w:t xml:space="preserve"> </w:t>
            </w:r>
            <w:r>
              <w:rPr>
                <w:rFonts w:hAnsi="方正黑体_GBK" w:eastAsia="方正黑体_GBK"/>
                <w:bCs/>
                <w:sz w:val="32"/>
                <w:szCs w:val="32"/>
              </w:rPr>
              <w:t>地面</w:t>
            </w:r>
            <w:r>
              <w:rPr>
                <w:rFonts w:eastAsia="方正黑体_GBK"/>
                <w:bCs/>
                <w:sz w:val="32"/>
                <w:szCs w:val="32"/>
              </w:rPr>
              <w:t xml:space="preserve"> </w:t>
            </w:r>
            <w:r>
              <w:rPr>
                <w:rFonts w:hAnsi="方正黑体_GBK" w:eastAsia="方正黑体_GBK"/>
                <w:bCs/>
                <w:sz w:val="32"/>
                <w:szCs w:val="32"/>
              </w:rPr>
              <w:t>积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黑体_GBK"/>
                <w:bCs/>
                <w:sz w:val="32"/>
                <w:szCs w:val="32"/>
              </w:rPr>
            </w:pPr>
            <w:r>
              <w:rPr>
                <w:rFonts w:hAnsi="方正黑体_GBK" w:eastAsia="方正黑体_GBK"/>
                <w:bCs/>
                <w:sz w:val="32"/>
                <w:szCs w:val="32"/>
              </w:rPr>
              <w:t>土地用途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黑体_GBK"/>
                <w:bCs/>
                <w:sz w:val="32"/>
                <w:szCs w:val="32"/>
              </w:rPr>
            </w:pPr>
            <w:r>
              <w:rPr>
                <w:rFonts w:hAnsi="方正黑体_GBK" w:eastAsia="方正黑体_GBK"/>
                <w:bCs/>
                <w:sz w:val="32"/>
                <w:szCs w:val="32"/>
              </w:rPr>
              <w:t>供应方式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黑体_GBK"/>
                <w:bCs/>
                <w:sz w:val="32"/>
                <w:szCs w:val="32"/>
              </w:rPr>
            </w:pPr>
            <w:r>
              <w:rPr>
                <w:rFonts w:hAnsi="方正黑体_GBK" w:eastAsia="方正黑体_GBK"/>
                <w:bCs/>
                <w:sz w:val="32"/>
                <w:szCs w:val="32"/>
              </w:rPr>
              <w:t>供应时间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黑体_GBK"/>
                <w:bCs/>
                <w:sz w:val="32"/>
                <w:szCs w:val="32"/>
              </w:rPr>
            </w:pPr>
            <w:r>
              <w:rPr>
                <w:rFonts w:hAnsi="方正黑体_GBK" w:eastAsia="方正黑体_GBK"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532622101111GB00004-33</w:t>
            </w: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砚山县江那镇嘉禾社区（洪瑞国际旁）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1.6047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城镇住宅-普通商品住房用地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拍卖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第一季度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532622207203JA00017-6</w:t>
            </w: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砚山县干河彝族乡碧云村民委员会布标、处暑村小组（云南绿色铝创新产业园内）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17.0409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工业用地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拍卖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第一季度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532622101002JA00005-2</w:t>
            </w: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砚山县江那镇嘉禾社区大克底村小组（新323国道西）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4.2912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城镇住宅-普通商品住房用地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拍卖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第一季度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532622101002JA00005-3</w:t>
            </w: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砚山县江那镇书院社区街头二组（新323国道西）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1.1182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城镇住宅-普通商品住房用地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拍卖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第一季度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532622101002JA00005-6</w:t>
            </w: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砚山县江那镇嘉禾社区大克底村小组（新323国道西）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4.3379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城镇住宅-普通商品住房用地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拍卖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第一季度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6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532622101002JA00005-4</w:t>
            </w: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砚山县江那镇嘉禾社区大克底村小组（新323国道西）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2.7657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城镇住宅-普通商品住房用地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拍卖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第一季度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7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532622101206JA00017-2</w:t>
            </w: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砚山县江那镇嘉禾社区新村村民小组（国道323线旁）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5.8025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城镇住宅-普通商品住房用地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拍卖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第一季度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8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  <w:shd w:val="clear" w:color="auto" w:fill="FFFFFF"/>
              </w:rPr>
              <w:t>532622101002GB00004-3</w:t>
            </w: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  <w:shd w:val="clear" w:color="auto" w:fill="FFFFFF"/>
              </w:rPr>
              <w:t>砚山县江那镇嘉禾社区大克底村民小组（佳雨花园一期旁）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  <w:shd w:val="clear" w:color="auto" w:fill="FFFFFF"/>
              </w:rPr>
              <w:t>0.8351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城镇住宅-普通商品住房用地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拍卖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第一季度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9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  <w:shd w:val="clear" w:color="auto" w:fill="FFFFFF"/>
              </w:rPr>
              <w:t>532622101206GB00028-4</w:t>
            </w: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  <w:shd w:val="clear" w:color="auto" w:fill="FFFFFF"/>
              </w:rPr>
              <w:t>砚山县江那镇嘉禾社区大克底村小组（佳雨花园一期旁）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  <w:shd w:val="clear" w:color="auto" w:fill="FFFFFF"/>
              </w:rPr>
              <w:t>0.7090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城镇住宅-普通商品住房用地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拍卖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第一季度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10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  <w:shd w:val="clear" w:color="auto" w:fill="FFFFFF"/>
              </w:rPr>
              <w:t>532622101206GB00028-7</w:t>
            </w: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  <w:shd w:val="clear" w:color="auto" w:fill="FFFFFF"/>
              </w:rPr>
              <w:t>砚山县江那镇嘉禾社区大克底村小组（佳雨花园一期旁）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  <w:shd w:val="clear" w:color="auto" w:fill="FFFFFF"/>
              </w:rPr>
              <w:t>0.0494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城镇住宅-普通商品住房用地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拍卖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第一季度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11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532622101004JA00013-2</w:t>
            </w: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砚山县江那镇秀源社区大外革二组村小组（国道323线旁）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8"/>
                <w:szCs w:val="28"/>
                <w:shd w:val="clear" w:color="auto" w:fill="F7F7F7"/>
              </w:rPr>
              <w:t>0.8131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公用设施用地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划拨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第一季度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12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532622101004JA00011-3</w:t>
            </w: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FF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砚山县江那镇（新323国道西）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FF0000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0.0327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城镇村道路用地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划拨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第二季度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13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532622101004JA00011-3</w:t>
            </w: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砚山县江那镇（新323国道西）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0.0402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城镇村道路用地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划拨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第二季度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14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532622202204JA00018-1</w:t>
            </w: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砚山县维摩乡倮可腻村民委员会红上马组与阿波塘组（普碳公路旁）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0.3186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商业用地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拍卖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第二季度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15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500KV天星变</w:t>
            </w: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砚山县干河乡碧云村委会（云南绿色铝创新创业园内）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10.4612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公用设施用地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划拨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第二季度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16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532622203201JA00048-1</w:t>
            </w: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砚山县盘龙乡盘龙村委会探科组</w:t>
            </w:r>
            <w:r>
              <w:rPr>
                <w:rFonts w:eastAsia="方正仿宋_GBK"/>
                <w:sz w:val="28"/>
                <w:szCs w:val="28"/>
              </w:rPr>
              <w:t>（砚文二级公路旁）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0.6345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商业用地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拍卖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第二季度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17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532622206201JA00016-2</w:t>
            </w: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砚山县蚌峨乡蚌峨村民委新寨村小组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0.1582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公用设施用地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划拨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第三季度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18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532622101203JA00013-8</w:t>
            </w: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砚山县江那镇羊街社区新农村村小组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兴凤路旁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0.3038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公用设施用地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划拨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第三季度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19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兴凤路旁用地</w:t>
            </w: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兴凤路旁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0.3303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公用设施用地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划拨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第三季度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20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532622101201JA00002-3-1</w:t>
            </w: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砚山县江那镇子马社区狮子山村民小组（砚文二级公路旁）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1.9885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工业用地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拍卖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第四季度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21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532622207203JA00022-1</w:t>
            </w: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砚山县干河乡碧云村委会布标村小组（布标工业园区内）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7.506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仓储用地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拍卖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第四季度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22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532622101002JA00005-5</w:t>
            </w: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砚山县江那镇嘉禾社区大克底村小组、秀源社区大外革村民小组（新323国道西）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6.064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城镇住宅-普通商品住房用地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拍卖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第四季度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23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政府收储（汽车交易中心）建设项目</w:t>
            </w: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兴凤路旁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3.2701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城镇住宅-普通商品住房用地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拍卖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第四季度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24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532622203201JA00121-1</w:t>
            </w: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盘龙乡盘龙街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0.5908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教育用地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划拨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第四季度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25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砚山强盛商品混凝土有限公司搅拌站工程项目</w:t>
            </w: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砚山县平远镇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1.5082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工业用地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拍卖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第四季度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26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砚山县宏达贸易有限公司辣椒深加工工程项目旁规划路</w:t>
            </w: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砚山县稼依镇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0.3875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公用设施用地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拍卖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第四季度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27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中国石油加油站一站</w:t>
            </w: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砚山县消防二队旁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0.5333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商业用地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拍卖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第四季度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28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中国石油加油站二站</w:t>
            </w: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砚山县富贵世家旁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0.5666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商业用地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  <w:r>
              <w:rPr>
                <w:rFonts w:eastAsia="方正仿宋_GBK"/>
                <w:sz w:val="28"/>
                <w:szCs w:val="28"/>
              </w:rPr>
              <w:t>拍卖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第四季度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29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532622101107JA00007-12</w:t>
            </w: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不动产登记中心背后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5.3743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城镇住宅-普通商品住房用地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  <w:r>
              <w:rPr>
                <w:rFonts w:eastAsia="方正仿宋_GBK"/>
                <w:sz w:val="28"/>
                <w:szCs w:val="28"/>
              </w:rPr>
              <w:t>拍卖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第四季度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30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532622101206JGB00028-8</w:t>
            </w: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砚山县江那镇铳卡村民委员会白龙山村小组（新国道323线旁）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4.977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城镇住宅-普通商品住房用地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  <w:r>
              <w:rPr>
                <w:rFonts w:eastAsia="方正仿宋_GBK"/>
                <w:sz w:val="28"/>
                <w:szCs w:val="28"/>
              </w:rPr>
              <w:t>拍卖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第四季度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31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532622101206JGB00028-9</w:t>
            </w: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砚山县江那镇铳卡村民委员会白龙山村小组（新国道323线旁）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4.7934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城镇住宅-普通商品住房用地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  <w:r>
              <w:rPr>
                <w:rFonts w:eastAsia="方正仿宋_GBK"/>
                <w:sz w:val="28"/>
                <w:szCs w:val="28"/>
              </w:rPr>
              <w:t>拍卖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第四季度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合计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89.2069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00D5"/>
    <w:multiLevelType w:val="multilevel"/>
    <w:tmpl w:val="25A600D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方正黑体_GBK" w:hAnsi="宋体" w:eastAsia="方正黑体_GBK"/>
        <w:b w:val="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B6F54C1"/>
    <w:multiLevelType w:val="multilevel"/>
    <w:tmpl w:val="3B6F54C1"/>
    <w:lvl w:ilvl="0" w:tentative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hint="eastAsia" w:ascii="方正楷体_GBK" w:hAnsi="宋体" w:eastAsia="方正楷体_GBK"/>
        <w:b w:val="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E1021"/>
    <w:rsid w:val="0F3F7323"/>
    <w:rsid w:val="126E1021"/>
    <w:rsid w:val="746E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iPriority w:val="0"/>
    <w:pPr>
      <w:spacing w:before="120"/>
    </w:pPr>
    <w:rPr>
      <w:rFonts w:ascii="Cambria" w:hAnsi="Cambria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2024-06-25T08:14:00Z</dcterms:created>
  <dc:creator>蒙永银</dc:creator>
  <cp:lastModifiedBy>蒙永银</cp:lastModifiedBy>
  <dcterms:modified xsi:type="dcterms:W3CDTF">2024-06-25T08:19:12Z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